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A746B" w14:textId="1FAFE14A" w:rsidR="00C75B4F" w:rsidRPr="000B7CFD" w:rsidRDefault="00C75B4F" w:rsidP="00D32706">
      <w:pPr>
        <w:pStyle w:val="3GPPHeader"/>
        <w:rPr>
          <w:sz w:val="32"/>
          <w:szCs w:val="32"/>
          <w:highlight w:val="yellow"/>
        </w:rPr>
      </w:pPr>
      <w:r w:rsidRPr="000B7CFD">
        <w:t>3GPP TSG-RAN WG</w:t>
      </w:r>
      <w:r w:rsidR="00301277">
        <w:t>1</w:t>
      </w:r>
      <w:r w:rsidRPr="000B7CFD">
        <w:t xml:space="preserve"> #</w:t>
      </w:r>
      <w:r w:rsidR="00C14E69" w:rsidRPr="000B7CFD">
        <w:t>91</w:t>
      </w:r>
      <w:r w:rsidRPr="000B7CFD">
        <w:tab/>
      </w:r>
      <w:r w:rsidRPr="000B7CFD">
        <w:rPr>
          <w:sz w:val="32"/>
          <w:szCs w:val="32"/>
        </w:rPr>
        <w:t>R</w:t>
      </w:r>
      <w:r w:rsidR="00C14E69" w:rsidRPr="000B7CFD">
        <w:rPr>
          <w:sz w:val="32"/>
          <w:szCs w:val="32"/>
        </w:rPr>
        <w:t>1</w:t>
      </w:r>
      <w:r w:rsidRPr="000B7CFD">
        <w:rPr>
          <w:sz w:val="32"/>
          <w:szCs w:val="32"/>
        </w:rPr>
        <w:t>-</w:t>
      </w:r>
      <w:r w:rsidR="00456EEA" w:rsidRPr="00456EEA">
        <w:rPr>
          <w:sz w:val="32"/>
          <w:szCs w:val="32"/>
        </w:rPr>
        <w:t>17</w:t>
      </w:r>
      <w:r w:rsidR="00456EEA" w:rsidRPr="002C52E8">
        <w:rPr>
          <w:sz w:val="32"/>
          <w:szCs w:val="32"/>
        </w:rPr>
        <w:t>20534</w:t>
      </w:r>
    </w:p>
    <w:p w14:paraId="47F0E5BE" w14:textId="77777777" w:rsidR="00C75B4F" w:rsidRPr="000B7CFD" w:rsidRDefault="00C75B4F" w:rsidP="00D32706">
      <w:pPr>
        <w:pStyle w:val="3GPPHeader"/>
      </w:pPr>
      <w:r w:rsidRPr="000B7CFD">
        <w:t>Reno, Nevada, USA, 27</w:t>
      </w:r>
      <w:r w:rsidRPr="000B7CFD">
        <w:rPr>
          <w:vertAlign w:val="superscript"/>
        </w:rPr>
        <w:t>th</w:t>
      </w:r>
      <w:r w:rsidRPr="000B7CFD">
        <w:t xml:space="preserve"> November – 1</w:t>
      </w:r>
      <w:r w:rsidRPr="000B7CFD">
        <w:rPr>
          <w:vertAlign w:val="superscript"/>
        </w:rPr>
        <w:t>st</w:t>
      </w:r>
      <w:r w:rsidRPr="000B7CFD">
        <w:t xml:space="preserve"> December 2017</w:t>
      </w:r>
      <w:r w:rsidRPr="000B7CFD">
        <w:tab/>
      </w:r>
    </w:p>
    <w:p w14:paraId="7FAA7EB0" w14:textId="526352BE" w:rsidR="00C75B4F" w:rsidRPr="00144620" w:rsidRDefault="00C75B4F" w:rsidP="00D32706">
      <w:pPr>
        <w:pStyle w:val="3GPPHeader"/>
        <w:rPr>
          <w:sz w:val="20"/>
          <w:lang w:val="en-GB"/>
        </w:rPr>
      </w:pPr>
      <w:r w:rsidRPr="00144620">
        <w:rPr>
          <w:lang w:val="en-GB"/>
        </w:rPr>
        <w:t>Agenda Item:</w:t>
      </w:r>
      <w:r w:rsidRPr="00144620">
        <w:rPr>
          <w:lang w:val="en-GB"/>
        </w:rPr>
        <w:tab/>
      </w:r>
      <w:r w:rsidR="000C47A1" w:rsidRPr="00144620">
        <w:rPr>
          <w:lang w:val="en-GB"/>
        </w:rPr>
        <w:t>6.2.8.2</w:t>
      </w:r>
    </w:p>
    <w:p w14:paraId="4ACB2FE1" w14:textId="77777777" w:rsidR="00C75B4F" w:rsidRPr="000B7CFD" w:rsidRDefault="00C75B4F" w:rsidP="00D32706">
      <w:pPr>
        <w:pStyle w:val="3GPPHeader"/>
      </w:pPr>
      <w:r w:rsidRPr="000B7CFD">
        <w:t>Source:</w:t>
      </w:r>
      <w:r w:rsidRPr="000B7CFD">
        <w:tab/>
        <w:t>Ericsson</w:t>
      </w:r>
    </w:p>
    <w:p w14:paraId="6FF8B403" w14:textId="2D2AA739" w:rsidR="00C75B4F" w:rsidRPr="000B7CFD" w:rsidRDefault="00C75B4F" w:rsidP="00D32706">
      <w:pPr>
        <w:pStyle w:val="3GPPHeader"/>
      </w:pPr>
      <w:r w:rsidRPr="000B7CFD">
        <w:t>Title:</w:t>
      </w:r>
      <w:r w:rsidRPr="000B7CFD">
        <w:tab/>
      </w:r>
      <w:r w:rsidR="00CB0549" w:rsidRPr="000B7CFD">
        <w:t>URLLC design for LTE</w:t>
      </w:r>
    </w:p>
    <w:p w14:paraId="1C69FA85" w14:textId="13FC0F73" w:rsidR="00C75B4F" w:rsidRPr="000B7CFD" w:rsidRDefault="00C75B4F" w:rsidP="00D32706">
      <w:pPr>
        <w:pStyle w:val="3GPPHeader"/>
      </w:pPr>
      <w:r w:rsidRPr="000B7CFD">
        <w:t>Document for:</w:t>
      </w:r>
      <w:r w:rsidRPr="000B7CFD">
        <w:tab/>
        <w:t>Discussion, Decision</w:t>
      </w:r>
    </w:p>
    <w:p w14:paraId="28BC7FB5" w14:textId="77777777" w:rsidR="00C75B4F" w:rsidRPr="000B7CFD" w:rsidRDefault="00C75B4F" w:rsidP="00C75B4F">
      <w:pPr>
        <w:pStyle w:val="Heading1"/>
      </w:pPr>
      <w:r w:rsidRPr="000B7CFD">
        <w:t>Introduction</w:t>
      </w:r>
    </w:p>
    <w:p w14:paraId="627C0FDA" w14:textId="1BA8D2D8" w:rsidR="00C75B4F" w:rsidRPr="000B7CFD" w:rsidRDefault="00E82B61" w:rsidP="00D32706">
      <w:pPr>
        <w:pStyle w:val="BodyText"/>
      </w:pPr>
      <w:r w:rsidRPr="000B7CFD">
        <w:t xml:space="preserve">In RAN1#90bis, </w:t>
      </w:r>
      <w:r w:rsidR="00C75B4F" w:rsidRPr="000B7CFD">
        <w:t xml:space="preserve">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 In addition, two targeted reliability and latency requirements are agreed be evaluated: </w:t>
      </w:r>
    </w:p>
    <w:tbl>
      <w:tblPr>
        <w:tblStyle w:val="TableGrid"/>
        <w:tblW w:w="0" w:type="auto"/>
        <w:tblLook w:val="04A0" w:firstRow="1" w:lastRow="0" w:firstColumn="1" w:lastColumn="0" w:noHBand="0" w:noVBand="1"/>
      </w:tblPr>
      <w:tblGrid>
        <w:gridCol w:w="9629"/>
      </w:tblGrid>
      <w:tr w:rsidR="00C75B4F" w:rsidRPr="00653821" w14:paraId="398B4819" w14:textId="77777777" w:rsidTr="00C0193F">
        <w:tc>
          <w:tcPr>
            <w:tcW w:w="9629" w:type="dxa"/>
          </w:tcPr>
          <w:p w14:paraId="4C791AE0" w14:textId="77777777" w:rsidR="00C75B4F" w:rsidRPr="00653821" w:rsidRDefault="00C75B4F" w:rsidP="00D32706">
            <w:pPr>
              <w:pStyle w:val="ListParagraph"/>
              <w:numPr>
                <w:ilvl w:val="0"/>
                <w:numId w:val="5"/>
              </w:numPr>
            </w:pPr>
            <w:r w:rsidRPr="00653821">
              <w:t>URLLC for LTE should target the requirement defined by ITU, i.e., 10</w:t>
            </w:r>
            <w:r w:rsidRPr="002C52E8">
              <w:rPr>
                <w:vertAlign w:val="superscript"/>
              </w:rPr>
              <w:t>-5</w:t>
            </w:r>
            <w:r w:rsidRPr="00653821">
              <w:t xml:space="preserve"> error probability in transmitting a layer 2 PDU of 32 bytes within 1 ms. Additional less stringent requirements can be considered.</w:t>
            </w:r>
          </w:p>
          <w:p w14:paraId="5D08E6CE" w14:textId="77777777" w:rsidR="00C75B4F" w:rsidRPr="00653821" w:rsidRDefault="00C75B4F" w:rsidP="00D32706">
            <w:pPr>
              <w:pStyle w:val="ListParagraph"/>
              <w:numPr>
                <w:ilvl w:val="0"/>
                <w:numId w:val="5"/>
              </w:numPr>
            </w:pPr>
            <w:r w:rsidRPr="00653821">
              <w:t>In addition to (10</w:t>
            </w:r>
            <w:r w:rsidRPr="002C52E8">
              <w:rPr>
                <w:vertAlign w:val="superscript"/>
              </w:rPr>
              <w:t>-5</w:t>
            </w:r>
            <w:r w:rsidRPr="00653821">
              <w:t>, 1ms, 32 bytes packet), URLLC for LTE should target the requirement of 10</w:t>
            </w:r>
            <w:r w:rsidRPr="002C52E8">
              <w:rPr>
                <w:vertAlign w:val="superscript"/>
              </w:rPr>
              <w:t>-4</w:t>
            </w:r>
            <w:r w:rsidRPr="00653821">
              <w:t xml:space="preserve"> error probability in transmitting a layer 2 PDU of 32 bytes within 10 ms.</w:t>
            </w:r>
          </w:p>
        </w:tc>
      </w:tr>
    </w:tbl>
    <w:p w14:paraId="2F59CA10" w14:textId="77777777" w:rsidR="00C75B4F" w:rsidRPr="000B7CFD" w:rsidRDefault="00C75B4F" w:rsidP="00D32706">
      <w:pPr>
        <w:pStyle w:val="BodyText"/>
      </w:pPr>
    </w:p>
    <w:p w14:paraId="22A99FA1" w14:textId="69108761" w:rsidR="00C75B4F" w:rsidRPr="000B7CFD" w:rsidRDefault="00C75B4F" w:rsidP="00D32706">
      <w:pPr>
        <w:pStyle w:val="BodyText"/>
      </w:pPr>
      <w:r w:rsidRPr="000B7CFD">
        <w:t xml:space="preserve">In this paper, we discuss </w:t>
      </w:r>
      <w:r w:rsidR="00641DE8">
        <w:t xml:space="preserve">design aspects on data and control transmission in both DL and UL, and in particular </w:t>
      </w:r>
      <w:r w:rsidRPr="000B7CFD">
        <w:t xml:space="preserve">repetition techniques to increase the reliability, i.e., the success probability within the latency bound, in particular for low SINR in coverage-edge. </w:t>
      </w:r>
    </w:p>
    <w:p w14:paraId="605DB8D4" w14:textId="77777777" w:rsidR="00C75B4F" w:rsidRPr="000B7CFD" w:rsidRDefault="00C75B4F" w:rsidP="00C75B4F">
      <w:pPr>
        <w:pStyle w:val="Heading1"/>
      </w:pPr>
      <w:bookmarkStart w:id="0" w:name="_Ref178064866"/>
      <w:r w:rsidRPr="000B7CFD">
        <w:t>Discussion</w:t>
      </w:r>
      <w:bookmarkEnd w:id="0"/>
    </w:p>
    <w:p w14:paraId="068898F3" w14:textId="45D3B06A" w:rsidR="00C75B4F" w:rsidRPr="000B7CFD" w:rsidRDefault="00BB31AE" w:rsidP="00C75B4F">
      <w:pPr>
        <w:pStyle w:val="Heading2"/>
      </w:pPr>
      <w:r>
        <w:t>Data Repetition</w:t>
      </w:r>
    </w:p>
    <w:p w14:paraId="41606663" w14:textId="39629B11" w:rsidR="00C75B4F" w:rsidRPr="000B7CFD" w:rsidRDefault="00C75B4F" w:rsidP="00D32706">
      <w:r w:rsidRPr="000B7CFD">
        <w:t>In LTE, retransmission mechanisms to ensure a reliable communication are already in</w:t>
      </w:r>
      <w:r w:rsidR="00222B35">
        <w:t xml:space="preserve"> </w:t>
      </w:r>
      <w:r w:rsidRPr="000B7CFD">
        <w:t>place on different layers. In MAC layer, HARQ-based retransmission is used and BLER target for each transport block is usually set to 10% (i.e. each transport block transmission is considered as a one-shot transmission having a BLER of 10%). Retransmission are triggered when HARQ NACK or UL grants (for asynchronous UL operation) are received. The RLC AM mode can further capture the remaining errors. The issue is that the latency introduced by retransmissions, especially at the RLC layer, could be too large for the latency performance targets identified for URLLC.</w:t>
      </w:r>
    </w:p>
    <w:p w14:paraId="2A44C214" w14:textId="16E3A415" w:rsidR="00C75B4F" w:rsidRPr="000B7CFD" w:rsidRDefault="00C75B4F" w:rsidP="00D32706">
      <w:r w:rsidRPr="000B7CFD">
        <w:t>If a strict latency bound is put on the delivery of packet (transport block), this corresponds to a smaller number of retransmissions opportunities being possible in HARQ, and hence a stricter BLER requirement on each packet transmission. For the target of an error rate of 10</w:t>
      </w:r>
      <w:r w:rsidRPr="000B7CFD">
        <w:rPr>
          <w:vertAlign w:val="superscript"/>
        </w:rPr>
        <w:t>-5</w:t>
      </w:r>
      <w:r w:rsidRPr="000B7CFD">
        <w:t xml:space="preserve"> within 1ms, only one HARQ-based transmission (i.e., one-shot transmission) can be supported within the 1ms latency bound with 2/3-OS sTTI. For the relaxed requirement of 10</w:t>
      </w:r>
      <w:r w:rsidRPr="000B7CFD">
        <w:rPr>
          <w:vertAlign w:val="superscript"/>
        </w:rPr>
        <w:t>-4</w:t>
      </w:r>
      <w:r w:rsidRPr="000B7CFD">
        <w:t xml:space="preserve"> within 10ms, more but still a limited number of HARQ-based transmissions can be supported. </w:t>
      </w:r>
    </w:p>
    <w:p w14:paraId="204171D5" w14:textId="4B8D261D" w:rsidR="00C75B4F" w:rsidRPr="000B7CFD" w:rsidRDefault="00C75B4F" w:rsidP="00D32706">
      <w:r w:rsidRPr="000B7CFD">
        <w:lastRenderedPageBreak/>
        <w:t>Retransmission based on HARQ feedback is very spectral</w:t>
      </w:r>
      <w:r w:rsidR="00605D30">
        <w:t>ly</w:t>
      </w:r>
      <w:r w:rsidRPr="000B7CFD">
        <w:t xml:space="preserve"> efficient. However, it requires the transmitting side to wait for feedback to be received, and thus the delay increases with one HARQ RTT for every retransmission. An alternative to HARQ-based retransmission is “automatic” retransmission or repetitions. Since these do not require feedback they can be executed back-to-back without any further delay. In NR, it has been agreed that for an UL transmission scheme with dynamic grant or without dynamic grant (i.e., configured SPS-grant), K repetitions including initial transmission for the same transport block are supported. See the following figure as an example.</w:t>
      </w:r>
    </w:p>
    <w:p w14:paraId="09B8CD0D" w14:textId="77777777" w:rsidR="00C75B4F" w:rsidRPr="000B7CFD" w:rsidRDefault="00C75B4F" w:rsidP="00D32706">
      <w:r w:rsidRPr="000B7CFD">
        <w:object w:dxaOrig="6435" w:dyaOrig="3301" w14:anchorId="16E9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5.5pt" o:ole="">
            <v:imagedata r:id="rId7" o:title=""/>
          </v:shape>
          <o:OLEObject Type="Embed" ProgID="Visio.Drawing.15" ShapeID="_x0000_i1025" DrawAspect="Content" ObjectID="_1572446714" r:id="rId8"/>
        </w:object>
      </w:r>
    </w:p>
    <w:p w14:paraId="119F28F1" w14:textId="57CEE329" w:rsidR="00C75B4F" w:rsidRPr="000B7CFD" w:rsidRDefault="00C75B4F" w:rsidP="00D32706">
      <w:pPr>
        <w:pStyle w:val="Caption"/>
      </w:pPr>
      <w:r w:rsidRPr="000B7CFD">
        <w:t xml:space="preserve">Figure </w:t>
      </w:r>
      <w:fldSimple w:instr=" SEQ Figure \* ARABIC ">
        <w:r w:rsidR="00692DD9">
          <w:rPr>
            <w:noProof/>
          </w:rPr>
          <w:t>1</w:t>
        </w:r>
      </w:fldSimple>
      <w:r w:rsidRPr="000B7CFD">
        <w:t xml:space="preserve"> Illustration of latency with repetition</w:t>
      </w:r>
      <w:r w:rsidR="00E76CEB">
        <w:t>.</w:t>
      </w:r>
    </w:p>
    <w:p w14:paraId="67A9C468" w14:textId="5012303A" w:rsidR="00C75B4F" w:rsidRPr="000B7CFD" w:rsidRDefault="0023614D" w:rsidP="00D32706">
      <w:r w:rsidRPr="00F96FEA">
        <w:t>A thorough latency analysis can be found i</w:t>
      </w:r>
      <w:r w:rsidR="00BB31AE" w:rsidRPr="00F96FEA">
        <w:t xml:space="preserve">n our companion paper </w:t>
      </w:r>
      <w:r w:rsidR="00BB31AE" w:rsidRPr="00F96FEA">
        <w:fldChar w:fldCharType="begin"/>
      </w:r>
      <w:r w:rsidR="00BB31AE" w:rsidRPr="00F96FEA">
        <w:instrText xml:space="preserve"> REF _Ref497979966 \r \h </w:instrText>
      </w:r>
      <w:r w:rsidR="00C025F8" w:rsidRPr="00F96FEA">
        <w:instrText xml:space="preserve"> \* MERGEFORMAT </w:instrText>
      </w:r>
      <w:r w:rsidR="00BB31AE" w:rsidRPr="00F96FEA">
        <w:fldChar w:fldCharType="separate"/>
      </w:r>
      <w:r w:rsidR="00692DD9">
        <w:t>[1]</w:t>
      </w:r>
      <w:r w:rsidR="00BB31AE" w:rsidRPr="00F96FEA">
        <w:fldChar w:fldCharType="end"/>
      </w:r>
      <w:r w:rsidRPr="00F96FEA">
        <w:t xml:space="preserve">. It is shown there that </w:t>
      </w:r>
      <w:r w:rsidR="00C75B4F" w:rsidRPr="00F96FEA">
        <w:t>one</w:t>
      </w:r>
      <w:r w:rsidR="00C75B4F" w:rsidRPr="000B7CFD">
        <w:t xml:space="preserve"> extra round of retransmission increases the latency by one HARQ RTT, </w:t>
      </w:r>
      <w:r w:rsidR="0027206E">
        <w:t>e.g.</w:t>
      </w:r>
      <w:r w:rsidR="00C75B4F" w:rsidRPr="000B7CFD">
        <w:t xml:space="preserve">, 8ms for Rel-14 and 6ms in Rel-15, </w:t>
      </w:r>
      <w:r w:rsidR="0027206E">
        <w:t>for 1ms operation</w:t>
      </w:r>
      <w:r w:rsidR="00C75B4F" w:rsidRPr="000B7CFD">
        <w:t>. For repetition-based approach, only one TTI latency is increased for one more repetition.</w:t>
      </w:r>
    </w:p>
    <w:p w14:paraId="76E0C1BD" w14:textId="2F5C6169" w:rsidR="00C75B4F" w:rsidRPr="000B7CFD" w:rsidRDefault="00C75B4F" w:rsidP="00D32706">
      <w:r w:rsidRPr="000B7CFD">
        <w:t>Suppose BLER for each PUSCH transmission is 1% and (re)transmissions</w:t>
      </w:r>
      <w:r w:rsidR="00144620">
        <w:t xml:space="preserve"> are independent</w:t>
      </w:r>
      <w:r w:rsidRPr="000B7CFD">
        <w:t>, one additional retransmission/repetition gives 10</w:t>
      </w:r>
      <w:r w:rsidRPr="000B7CFD">
        <w:rPr>
          <w:vertAlign w:val="superscript"/>
        </w:rPr>
        <w:t>-4</w:t>
      </w:r>
      <w:r w:rsidRPr="000B7CFD">
        <w:t xml:space="preserve"> BLER (lower if transmissions are combined, and higher if there is correlation between block errors), two retransmissions/repetitions are needed to reach a target BLER of 10</w:t>
      </w:r>
      <w:r w:rsidRPr="000B7CFD">
        <w:rPr>
          <w:vertAlign w:val="superscript"/>
        </w:rPr>
        <w:t>-6</w:t>
      </w:r>
      <w:r w:rsidRPr="000B7CFD">
        <w:t xml:space="preserve"> (less than the 10</w:t>
      </w:r>
      <w:r w:rsidRPr="000B7CFD">
        <w:rPr>
          <w:vertAlign w:val="superscript"/>
        </w:rPr>
        <w:t>-5</w:t>
      </w:r>
      <w:r w:rsidRPr="000B7CFD">
        <w:t xml:space="preserve"> requirement, again combining transmissions will give lower BLER and correlation between the transmissions will give higher BLER). If we want to reach the target of an error rate of 10</w:t>
      </w:r>
      <w:r w:rsidRPr="000B7CFD">
        <w:rPr>
          <w:vertAlign w:val="superscript"/>
        </w:rPr>
        <w:t>-5</w:t>
      </w:r>
      <w:r w:rsidRPr="000B7CFD">
        <w:t xml:space="preserve"> within 10ms, only a repetition based scheme can be used since any attempt to use a HARQ based scheme to reach the target BLER will require much more than 10ms</w:t>
      </w:r>
      <w:r w:rsidR="0086619E">
        <w:t xml:space="preserve"> assuming 1ms TTI</w:t>
      </w:r>
      <w:r w:rsidRPr="000B7CFD">
        <w:t xml:space="preserve">. </w:t>
      </w:r>
    </w:p>
    <w:p w14:paraId="27756872" w14:textId="4AA1CCB2" w:rsidR="00C75B4F" w:rsidRDefault="00C75B4F" w:rsidP="00D32706">
      <w:r w:rsidRPr="000B7CFD">
        <w:t>If users were dynamically scheduled, there is the extra uncertainty of decoding error of PDCCH which will effectively serve to further increase the latency experienced when attempting to realize the target BLER using HARQ based retransmissions. As such, it is clear that the target BLER and latencies expected for URLLC will require the use of a transport block repetition scheme.</w:t>
      </w:r>
    </w:p>
    <w:p w14:paraId="3C36AAF8" w14:textId="71FAE032" w:rsidR="00141982" w:rsidRPr="00AC1108" w:rsidRDefault="00AC1108" w:rsidP="00D32706">
      <w:pPr>
        <w:pStyle w:val="Proposal"/>
      </w:pPr>
      <w:bookmarkStart w:id="1" w:name="_Toc498532298"/>
      <w:bookmarkStart w:id="2" w:name="_Toc498609748"/>
      <w:bookmarkStart w:id="3" w:name="_Toc498700888"/>
      <w:bookmarkStart w:id="4" w:name="_Toc498704884"/>
      <w:r w:rsidRPr="000B7CFD">
        <w:t>Transport block repetition is supported for ultra</w:t>
      </w:r>
      <w:r w:rsidR="00810B97">
        <w:t>-</w:t>
      </w:r>
      <w:r w:rsidRPr="000B7CFD">
        <w:t>high</w:t>
      </w:r>
      <w:r w:rsidR="00810B97">
        <w:t xml:space="preserve"> </w:t>
      </w:r>
      <w:r w:rsidRPr="000B7CFD">
        <w:t>reliability within the latency boun</w:t>
      </w:r>
      <w:r>
        <w:t>d.</w:t>
      </w:r>
      <w:bookmarkEnd w:id="1"/>
      <w:bookmarkEnd w:id="2"/>
      <w:bookmarkEnd w:id="3"/>
      <w:bookmarkEnd w:id="4"/>
    </w:p>
    <w:p w14:paraId="23810ED8" w14:textId="3D55051E" w:rsidR="00C75B4F" w:rsidRDefault="00C75B4F" w:rsidP="00D32706">
      <w:pPr>
        <w:rPr>
          <w:lang w:val="en-GB"/>
        </w:rPr>
      </w:pPr>
      <w:r w:rsidRPr="000B7CFD">
        <w:rPr>
          <w:lang w:val="en-GB"/>
        </w:rPr>
        <w:t>One may argue that time</w:t>
      </w:r>
      <w:r w:rsidR="00802E32">
        <w:rPr>
          <w:lang w:val="en-GB"/>
        </w:rPr>
        <w:t xml:space="preserve"> </w:t>
      </w:r>
      <w:r w:rsidRPr="000B7CFD">
        <w:rPr>
          <w:lang w:val="en-GB"/>
        </w:rPr>
        <w:t>repetition is a simple repetition</w:t>
      </w:r>
      <w:r w:rsidR="002E6EFA">
        <w:rPr>
          <w:lang w:val="en-GB"/>
        </w:rPr>
        <w:t xml:space="preserve"> </w:t>
      </w:r>
      <w:r w:rsidRPr="000B7CFD">
        <w:rPr>
          <w:lang w:val="en-GB"/>
        </w:rPr>
        <w:t>coding scheme and a better reliability can be achieved with more advanced coding scheme. However, time</w:t>
      </w:r>
      <w:r w:rsidR="002E6EFA">
        <w:rPr>
          <w:lang w:val="en-GB"/>
        </w:rPr>
        <w:t xml:space="preserve"> </w:t>
      </w:r>
      <w:r w:rsidRPr="000B7CFD">
        <w:rPr>
          <w:lang w:val="en-GB"/>
        </w:rPr>
        <w:t>repetition scheme can achieve a lower latency and consequently can better reach the latency</w:t>
      </w:r>
      <w:r w:rsidR="002E6EFA">
        <w:rPr>
          <w:lang w:val="en-GB"/>
        </w:rPr>
        <w:t xml:space="preserve"> </w:t>
      </w:r>
      <w:r w:rsidRPr="000B7CFD">
        <w:rPr>
          <w:lang w:val="en-GB"/>
        </w:rPr>
        <w:t>related reliability target defined in URLLC. For example, time repetition has a smaller alignment delay, and thus more time can be used for actual transport block transmission within the latency</w:t>
      </w:r>
      <w:r w:rsidR="002E6EFA">
        <w:rPr>
          <w:lang w:val="en-GB"/>
        </w:rPr>
        <w:t xml:space="preserve"> </w:t>
      </w:r>
      <w:r w:rsidRPr="000B7CFD">
        <w:rPr>
          <w:lang w:val="en-GB"/>
        </w:rPr>
        <w:t>target. In addition, transport block might be successfully decoded earlier when the initial or the first transmission is successful</w:t>
      </w:r>
      <w:r w:rsidR="00BB5DE7">
        <w:rPr>
          <w:lang w:val="en-GB"/>
        </w:rPr>
        <w:t>ly</w:t>
      </w:r>
      <w:r w:rsidRPr="000B7CFD">
        <w:rPr>
          <w:lang w:val="en-GB"/>
        </w:rPr>
        <w:t xml:space="preserve"> decoded. </w:t>
      </w:r>
    </w:p>
    <w:p w14:paraId="22527612" w14:textId="1BE52854" w:rsidR="007C06DB" w:rsidRPr="000B7CFD" w:rsidRDefault="00426C27" w:rsidP="002C52E8">
      <w:pPr>
        <w:pStyle w:val="Observation"/>
        <w:rPr>
          <w:lang w:val="en-GB"/>
        </w:rPr>
      </w:pPr>
      <w:bookmarkStart w:id="5" w:name="_Toc498700894"/>
      <w:bookmarkStart w:id="6" w:name="_Toc498704877"/>
      <w:r>
        <w:rPr>
          <w:lang w:val="en-GB"/>
        </w:rPr>
        <w:t xml:space="preserve">Extending the block transmission over multiple TTIs by applying a lower code rate, compared to applying time repetitions might lead to both longer </w:t>
      </w:r>
      <w:r>
        <w:rPr>
          <w:lang w:val="en-GB"/>
        </w:rPr>
        <w:lastRenderedPageBreak/>
        <w:t>alignment delay and decoding delay, and might not bring performance benefits in the end</w:t>
      </w:r>
      <w:r w:rsidR="00E76CEB">
        <w:rPr>
          <w:lang w:val="en-GB"/>
        </w:rPr>
        <w:t>.</w:t>
      </w:r>
      <w:bookmarkEnd w:id="5"/>
      <w:bookmarkEnd w:id="6"/>
    </w:p>
    <w:p w14:paraId="29234398" w14:textId="77777777" w:rsidR="00C75B4F" w:rsidRPr="000B7CFD" w:rsidRDefault="00C75B4F" w:rsidP="00D32706">
      <w:r w:rsidRPr="000B7CFD">
        <w:rPr>
          <w:lang w:val="en-GB"/>
        </w:rPr>
        <w:t xml:space="preserve"> </w:t>
      </w:r>
      <w:r w:rsidRPr="000B7CFD">
        <w:object w:dxaOrig="9300" w:dyaOrig="3675" w14:anchorId="04776BA2">
          <v:shape id="_x0000_i1026" type="#_x0000_t75" style="width:468pt;height:180pt" o:ole="">
            <v:imagedata r:id="rId9" o:title=""/>
          </v:shape>
          <o:OLEObject Type="Embed" ProgID="Visio.Drawing.15" ShapeID="_x0000_i1026" DrawAspect="Content" ObjectID="_1572446715" r:id="rId10"/>
        </w:object>
      </w:r>
    </w:p>
    <w:p w14:paraId="48E4F0DD" w14:textId="18F9CF63" w:rsidR="00C75B4F" w:rsidRPr="000B7CFD" w:rsidRDefault="00C75B4F" w:rsidP="00D32706">
      <w:pPr>
        <w:pStyle w:val="Caption"/>
      </w:pPr>
      <w:r w:rsidRPr="000B7CFD">
        <w:t xml:space="preserve">Figure </w:t>
      </w:r>
      <w:fldSimple w:instr=" SEQ Figure \* ARABIC ">
        <w:r w:rsidR="00692DD9">
          <w:rPr>
            <w:noProof/>
          </w:rPr>
          <w:t>2</w:t>
        </w:r>
      </w:fldSimple>
      <w:r w:rsidRPr="000B7CFD">
        <w:t xml:space="preserve"> Shorter alignment delay and decoding delay for “Time Repetition” versus “Longer coding”</w:t>
      </w:r>
      <w:r w:rsidR="00E76CEB">
        <w:t>.</w:t>
      </w:r>
    </w:p>
    <w:p w14:paraId="2087AE26" w14:textId="686B3B73" w:rsidR="00C75B4F" w:rsidRPr="000B7CFD" w:rsidRDefault="002C6BD6" w:rsidP="00A62CE1">
      <w:pPr>
        <w:pStyle w:val="Heading3"/>
      </w:pPr>
      <w:r>
        <w:t>Support of data r</w:t>
      </w:r>
      <w:r w:rsidR="00C75B4F" w:rsidRPr="000B7CFD">
        <w:t xml:space="preserve">epetition </w:t>
      </w:r>
    </w:p>
    <w:p w14:paraId="1030B86E" w14:textId="77777777" w:rsidR="00C75B4F" w:rsidRPr="000B7CFD" w:rsidRDefault="00C75B4F" w:rsidP="00D32706">
      <w:pPr>
        <w:rPr>
          <w:lang w:val="en-GB"/>
        </w:rPr>
      </w:pPr>
      <w:r w:rsidRPr="000B7CFD">
        <w:rPr>
          <w:lang w:val="en-GB"/>
        </w:rPr>
        <w:t xml:space="preserve">For DL transmission and SR-based UL transmission, the repetition can be done by network implementation without specification impact. More specifically, eNB transmits consecutively in time on PDCCH(DL-assignment)/PDSCH(DL-data)/UL-grant for the same HARQ process with NDI not-toggled. </w:t>
      </w:r>
    </w:p>
    <w:p w14:paraId="38201885" w14:textId="77777777" w:rsidR="00C75B4F" w:rsidRPr="000B7CFD" w:rsidRDefault="00C75B4F" w:rsidP="00D32706">
      <w:pPr>
        <w:pStyle w:val="Observation"/>
      </w:pPr>
      <w:bookmarkStart w:id="7" w:name="_Toc498532294"/>
      <w:bookmarkStart w:id="8" w:name="_Toc498609743"/>
      <w:bookmarkStart w:id="9" w:name="_Toc498700895"/>
      <w:bookmarkStart w:id="10" w:name="_Toc498704878"/>
      <w:r w:rsidRPr="000B7CFD">
        <w:t>Repetition in DL and SR-based UL is supported without specification impact.</w:t>
      </w:r>
      <w:bookmarkEnd w:id="7"/>
      <w:bookmarkEnd w:id="8"/>
      <w:bookmarkEnd w:id="9"/>
      <w:bookmarkEnd w:id="10"/>
    </w:p>
    <w:p w14:paraId="7FBE62E1" w14:textId="670D3F7B" w:rsidR="00C75B4F" w:rsidRPr="000B7CFD" w:rsidRDefault="00C75B4F" w:rsidP="00D32706">
      <w:r w:rsidRPr="000B7CFD">
        <w:t xml:space="preserve">For SPS UL, specification work is needed, but the concept of repetition has been </w:t>
      </w:r>
      <w:r w:rsidR="005F278B">
        <w:t>studied for LTE</w:t>
      </w:r>
      <w:r w:rsidR="005F278B" w:rsidRPr="000B7CFD">
        <w:t xml:space="preserve"> </w:t>
      </w:r>
      <w:r w:rsidRPr="000B7CFD">
        <w:t>previously.</w:t>
      </w:r>
      <w:bookmarkStart w:id="11" w:name="_Toc492481979"/>
      <w:bookmarkStart w:id="12" w:name="_Toc492483220"/>
      <w:bookmarkStart w:id="13" w:name="_Toc492483472"/>
      <w:bookmarkStart w:id="14" w:name="_Toc492483729"/>
      <w:bookmarkStart w:id="15" w:name="_Toc492987553"/>
      <w:bookmarkStart w:id="16" w:name="_Toc492987557"/>
      <w:bookmarkStart w:id="17" w:name="_Toc492994510"/>
      <w:bookmarkStart w:id="18" w:name="_Toc492999884"/>
      <w:r w:rsidRPr="000B7CFD">
        <w:t xml:space="preserve">  In </w:t>
      </w:r>
      <w:r w:rsidR="00FD28A9" w:rsidRPr="000B7CFD">
        <w:t>pre</w:t>
      </w:r>
      <w:r w:rsidR="00FD28A9">
        <w:t>-R</w:t>
      </w:r>
      <w:r w:rsidR="00FD28A9" w:rsidRPr="000B7CFD">
        <w:t>el</w:t>
      </w:r>
      <w:r w:rsidRPr="000B7CFD">
        <w:t xml:space="preserve">-13, transport block repetition is supported by TTI bundling. In TTI-bundling, a UE sends four copies of one transport block with a fixed RV pattern. Each additional copy is treated as one non-adaptive retransmission, that is, the same MAC procedure to produce a non-adaptive retransmission is reused.  In rel-13, multi-subframe repetition is introduced as coverage-extension feature to support MTC devices with higher coupling loss. The repetitions take place by default in consecutive subframes (i.e., it does not introduce excessive additional latency as in HARQ-based retransmissions) and can have inter-subframe frequency hopping.  The number of repetitions to use for a certain data transmission is a combination of semi-static configuration by RRC and dynamic selection on a per-transmission basis by DCI format-6. </w:t>
      </w:r>
    </w:p>
    <w:p w14:paraId="45E44F05" w14:textId="5B97E8BF" w:rsidR="00C75B4F" w:rsidRPr="000B7CFD" w:rsidRDefault="00C75B4F" w:rsidP="00D32706">
      <w:r w:rsidRPr="000B7CFD">
        <w:t xml:space="preserve">Although the initial motivation for TTI bundling/multi-subframe repetition is to improve coverage, a similar framework can be re-used to achieve URLLC BLER targets while minimizing specification workload. </w:t>
      </w:r>
    </w:p>
    <w:bookmarkEnd w:id="11"/>
    <w:bookmarkEnd w:id="12"/>
    <w:bookmarkEnd w:id="13"/>
    <w:bookmarkEnd w:id="14"/>
    <w:bookmarkEnd w:id="15"/>
    <w:bookmarkEnd w:id="16"/>
    <w:bookmarkEnd w:id="17"/>
    <w:bookmarkEnd w:id="18"/>
    <w:p w14:paraId="62B84144" w14:textId="7F8AC9F2" w:rsidR="00C75B4F" w:rsidRDefault="005F278B" w:rsidP="00D32706">
      <w:r>
        <w:t>The number of automatic repetitions after an initial transmission should be configurable. In other words, a</w:t>
      </w:r>
      <w:r w:rsidR="00C75B4F" w:rsidRPr="000B7CFD">
        <w:t xml:space="preserve"> variable repetition based transmission scheme to support transmission of URLLC data is seen to be beneficial</w:t>
      </w:r>
      <w:r w:rsidR="00076106">
        <w:t>, since t</w:t>
      </w:r>
      <w:r w:rsidR="00C75B4F" w:rsidRPr="000B7CFD">
        <w:t xml:space="preserve">he number of needed repetitions for URLLC data might be different for different latency-reliability requirements and channel conditions.  </w:t>
      </w:r>
    </w:p>
    <w:p w14:paraId="6CB91A19" w14:textId="33898BC9" w:rsidR="00AC1108" w:rsidRPr="00AC1108" w:rsidRDefault="00AC1108" w:rsidP="00D32706">
      <w:pPr>
        <w:pStyle w:val="Proposal"/>
      </w:pPr>
      <w:bookmarkStart w:id="19" w:name="_Toc498532299"/>
      <w:bookmarkStart w:id="20" w:name="_Toc498609749"/>
      <w:bookmarkStart w:id="21" w:name="_Toc498700889"/>
      <w:bookmarkStart w:id="22" w:name="_Toc498704885"/>
      <w:r w:rsidRPr="000B7CFD">
        <w:t>A variable number of repetitions for SPS UL should be supported and is to be controlled by the eNB</w:t>
      </w:r>
      <w:r>
        <w:t>.</w:t>
      </w:r>
      <w:bookmarkEnd w:id="19"/>
      <w:bookmarkEnd w:id="20"/>
      <w:bookmarkEnd w:id="21"/>
      <w:bookmarkEnd w:id="22"/>
    </w:p>
    <w:p w14:paraId="58894EE5" w14:textId="5502F9DE" w:rsidR="003424DE" w:rsidRDefault="003424DE" w:rsidP="00122388">
      <w:pPr>
        <w:pStyle w:val="Heading2"/>
      </w:pPr>
      <w:bookmarkStart w:id="23" w:name="_Toc493860959"/>
      <w:bookmarkStart w:id="24" w:name="_Toc494385764"/>
      <w:bookmarkEnd w:id="23"/>
      <w:r>
        <w:lastRenderedPageBreak/>
        <w:t>Downlink Data</w:t>
      </w:r>
    </w:p>
    <w:p w14:paraId="4F7875A5" w14:textId="6647D660" w:rsidR="00DC0799" w:rsidRDefault="00DC0799" w:rsidP="00D32706">
      <w:pPr>
        <w:pStyle w:val="BodyText"/>
      </w:pPr>
      <w:r>
        <w:t>In addition to the data repetition described above, a number of other techniques can be applied to improve latency and reliability of the PDSCH channel.</w:t>
      </w:r>
      <w:r w:rsidR="00D57053">
        <w:t xml:space="preserve"> In particular, the shortened TTI approaches from the </w:t>
      </w:r>
      <w:r w:rsidR="00674B6F">
        <w:t>sTTI&amp;</w:t>
      </w:r>
      <w:r w:rsidR="00F67AF6">
        <w:t>S</w:t>
      </w:r>
      <w:r w:rsidR="00674B6F">
        <w:t>PT WI</w:t>
      </w:r>
      <w:r w:rsidR="00C52841">
        <w:t xml:space="preserve"> become </w:t>
      </w:r>
      <w:r w:rsidR="00674B6F">
        <w:t xml:space="preserve">useful </w:t>
      </w:r>
      <w:r w:rsidR="00C52841">
        <w:t>also here</w:t>
      </w:r>
      <w:r w:rsidR="0043448E">
        <w:t>.</w:t>
      </w:r>
    </w:p>
    <w:p w14:paraId="1D00CD84" w14:textId="41069B41" w:rsidR="00C52841" w:rsidRDefault="00C52841" w:rsidP="00C52841">
      <w:pPr>
        <w:pStyle w:val="Heading3"/>
      </w:pPr>
      <w:r>
        <w:t>Shortened TTI</w:t>
      </w:r>
    </w:p>
    <w:p w14:paraId="6E38A94A" w14:textId="450D3A6A" w:rsidR="00DC0799" w:rsidRDefault="006F3E4B" w:rsidP="00D32706">
      <w:pPr>
        <w:pStyle w:val="BodyText"/>
      </w:pPr>
      <w:r>
        <w:t>From the sTTI&amp;</w:t>
      </w:r>
      <w:r w:rsidR="00F67AF6">
        <w:t>S</w:t>
      </w:r>
      <w:r>
        <w:t>PT WI</w:t>
      </w:r>
      <w:r w:rsidR="00C52841">
        <w:t>, in addition to subframe-PDSCH, also slot-PDSCH and subslot-PDSCH have been d</w:t>
      </w:r>
      <w:r w:rsidR="00B732B7">
        <w:t xml:space="preserve">efined. </w:t>
      </w:r>
      <w:r w:rsidR="00B732B7">
        <w:fldChar w:fldCharType="begin"/>
      </w:r>
      <w:r w:rsidR="00B732B7">
        <w:instrText xml:space="preserve"> REF _Ref498528521 \h </w:instrText>
      </w:r>
      <w:r w:rsidR="00B732B7">
        <w:fldChar w:fldCharType="separate"/>
      </w:r>
      <w:r w:rsidR="00692DD9">
        <w:t xml:space="preserve">Figure </w:t>
      </w:r>
      <w:r w:rsidR="00692DD9">
        <w:rPr>
          <w:noProof/>
        </w:rPr>
        <w:t>3</w:t>
      </w:r>
      <w:r w:rsidR="00B732B7">
        <w:fldChar w:fldCharType="end"/>
      </w:r>
      <w:r w:rsidR="00B732B7">
        <w:t xml:space="preserve"> shows the division of a 1ms-subframe into subslots, where 5 (in case of 2-3 symbols PDCCH) or 6 subslots (for 1 symbols PDCCH) can be used for separate PDSCH transmissions.</w:t>
      </w:r>
    </w:p>
    <w:p w14:paraId="15A946B5" w14:textId="3BF9EC47" w:rsidR="00B732B7" w:rsidRDefault="00B732B7" w:rsidP="00D32706">
      <w:pPr>
        <w:pStyle w:val="BodyText"/>
      </w:pPr>
      <w:r>
        <w:t xml:space="preserve">This </w:t>
      </w:r>
      <w:r w:rsidR="00F73BB1">
        <w:t xml:space="preserve">will give the possibility to use more of the data repetitions described above, </w:t>
      </w:r>
      <w:r w:rsidR="006F3E4B">
        <w:t>as well as</w:t>
      </w:r>
      <w:r w:rsidR="00F73BB1">
        <w:t xml:space="preserve"> more HARQ retransmissions</w:t>
      </w:r>
      <w:r w:rsidR="006F3E4B">
        <w:t>,</w:t>
      </w:r>
      <w:r w:rsidR="00F73BB1">
        <w:t xml:space="preserve"> within the latency budget. It is thus well suited for improving reliability.</w:t>
      </w:r>
    </w:p>
    <w:p w14:paraId="6262817A" w14:textId="43C84759" w:rsidR="00B732B7" w:rsidRPr="000B7CFD" w:rsidRDefault="00B732B7" w:rsidP="00B732B7">
      <w:pPr>
        <w:pStyle w:val="Observation"/>
      </w:pPr>
      <w:bookmarkStart w:id="25" w:name="_Toc498532295"/>
      <w:bookmarkStart w:id="26" w:name="_Toc498609744"/>
      <w:bookmarkStart w:id="27" w:name="_Toc498700896"/>
      <w:bookmarkStart w:id="28" w:name="_Toc498704879"/>
      <w:r>
        <w:t>Using subslot PDSCH transmissions will</w:t>
      </w:r>
      <w:r w:rsidR="00307ADA">
        <w:t>, compared to 1ms TTI transmission</w:t>
      </w:r>
      <w:r>
        <w:t xml:space="preserve">, </w:t>
      </w:r>
      <w:r w:rsidR="00307ADA">
        <w:t xml:space="preserve">provide </w:t>
      </w:r>
      <w:r>
        <w:t xml:space="preserve">lower latency, also allow for allow more </w:t>
      </w:r>
      <w:r w:rsidR="00307ADA">
        <w:t xml:space="preserve">HARQ based </w:t>
      </w:r>
      <w:r>
        <w:t xml:space="preserve">retransmissions, thereby improving </w:t>
      </w:r>
      <w:r w:rsidR="00307ADA">
        <w:t xml:space="preserve">spectral efficiency and possibly </w:t>
      </w:r>
      <w:r>
        <w:t>reliability.</w:t>
      </w:r>
      <w:bookmarkEnd w:id="25"/>
      <w:bookmarkEnd w:id="26"/>
      <w:bookmarkEnd w:id="27"/>
      <w:bookmarkEnd w:id="28"/>
    </w:p>
    <w:p w14:paraId="7AB2CD36" w14:textId="77777777" w:rsidR="00C52841" w:rsidRDefault="00C52841" w:rsidP="00B732B7">
      <w:pPr>
        <w:pStyle w:val="BodyText"/>
        <w:jc w:val="center"/>
      </w:pPr>
      <w:r w:rsidRPr="007C2067">
        <w:rPr>
          <w:noProof/>
          <w:lang w:val="sv-SE" w:eastAsia="sv-SE"/>
        </w:rPr>
        <w:drawing>
          <wp:inline distT="0" distB="0" distL="0" distR="0" wp14:anchorId="4050ADCA" wp14:editId="722802DC">
            <wp:extent cx="3535680" cy="105918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5F1FF8E6" w14:textId="2DED7FAC" w:rsidR="00D32706" w:rsidRDefault="00C52841" w:rsidP="00D32706">
      <w:pPr>
        <w:pStyle w:val="Caption"/>
      </w:pPr>
      <w:bookmarkStart w:id="29" w:name="_Ref498528521"/>
      <w:r>
        <w:t xml:space="preserve">Figure </w:t>
      </w:r>
      <w:fldSimple w:instr=" SEQ Figure \* ARABIC ">
        <w:r w:rsidR="00692DD9">
          <w:rPr>
            <w:noProof/>
          </w:rPr>
          <w:t>3</w:t>
        </w:r>
      </w:fldSimple>
      <w:bookmarkEnd w:id="29"/>
      <w:r>
        <w:t xml:space="preserve"> Division of a subframe into subslots. Pattern 1 is used for control region of 1 and 3 symbols, and pattern 2 is used for 2</w:t>
      </w:r>
      <w:r w:rsidR="00F72BAA">
        <w:t>-</w:t>
      </w:r>
      <w:r>
        <w:t>symbol control region.</w:t>
      </w:r>
    </w:p>
    <w:p w14:paraId="1D3A9B97" w14:textId="1EB27F43" w:rsidR="00D32706" w:rsidRDefault="00D12B90" w:rsidP="00D32706">
      <w:pPr>
        <w:pStyle w:val="Heading3"/>
      </w:pPr>
      <w:r>
        <w:t>Code rates for high reliability</w:t>
      </w:r>
    </w:p>
    <w:p w14:paraId="3EE2429C" w14:textId="179DECCA" w:rsidR="00B321D1" w:rsidRDefault="00591F59" w:rsidP="00B321D1">
      <w:r>
        <w:rPr>
          <w:lang w:val="en-GB"/>
        </w:rPr>
        <w:t xml:space="preserve">To support better reliability than provided with the MCS values in LTE, a set of lower </w:t>
      </w:r>
      <w:r w:rsidR="00B321D1">
        <w:rPr>
          <w:lang w:val="en-GB"/>
        </w:rPr>
        <w:t xml:space="preserve">TBS </w:t>
      </w:r>
      <w:r w:rsidR="00674B6F">
        <w:rPr>
          <w:lang w:val="en-GB"/>
        </w:rPr>
        <w:t xml:space="preserve">values </w:t>
      </w:r>
      <w:r>
        <w:rPr>
          <w:lang w:val="en-GB"/>
        </w:rPr>
        <w:t>may be defined</w:t>
      </w:r>
      <w:r w:rsidR="00B321D1">
        <w:rPr>
          <w:lang w:val="en-GB"/>
        </w:rPr>
        <w:t xml:space="preserve"> for URLLC</w:t>
      </w:r>
      <w:r>
        <w:rPr>
          <w:lang w:val="en-GB"/>
        </w:rPr>
        <w:t>.</w:t>
      </w:r>
      <w:r w:rsidR="00B321D1">
        <w:rPr>
          <w:lang w:val="en-GB"/>
        </w:rPr>
        <w:t xml:space="preserve"> </w:t>
      </w:r>
      <w:r w:rsidR="00B321D1">
        <w:t>In the sTTI&amp;</w:t>
      </w:r>
      <w:r w:rsidR="000506EF">
        <w:t>S</w:t>
      </w:r>
      <w:r w:rsidR="00B321D1">
        <w:t xml:space="preserve">PT WI, a modification of the TBS is defined where the TBS value from the legacy table is scaled according to TTI length with a configured factor </w:t>
      </w:r>
      <m:oMath>
        <m:r>
          <w:rPr>
            <w:rFonts w:ascii="Cambria Math" w:hAnsi="Cambria Math"/>
          </w:rPr>
          <m:t>α</m:t>
        </m:r>
        <m:d>
          <m:dPr>
            <m:ctrlPr>
              <w:rPr>
                <w:rFonts w:ascii="Cambria Math" w:hAnsi="Cambria Math"/>
                <w:i/>
              </w:rPr>
            </m:ctrlPr>
          </m:dPr>
          <m:e>
            <m:r>
              <w:rPr>
                <w:rFonts w:ascii="Cambria Math" w:hAnsi="Cambria Math"/>
              </w:rPr>
              <m:t>TTI, direction</m:t>
            </m:r>
          </m:e>
        </m:d>
        <m:r>
          <w:rPr>
            <w:rFonts w:ascii="Cambria Math" w:hAnsi="Cambria Math"/>
          </w:rPr>
          <m:t>&lt;1</m:t>
        </m:r>
      </m:oMath>
      <w:r w:rsidR="00B321D1">
        <w:t xml:space="preserve"> such that</w:t>
      </w:r>
    </w:p>
    <w:p w14:paraId="092229F3" w14:textId="77777777" w:rsidR="00B321D1" w:rsidRDefault="004E1121" w:rsidP="00B321D1">
      <m:oMathPara>
        <m:oMath>
          <m:sSub>
            <m:sSubPr>
              <m:ctrlPr>
                <w:rPr>
                  <w:rFonts w:ascii="Cambria Math" w:hAnsi="Cambria Math"/>
                  <w:i/>
                </w:rPr>
              </m:ctrlPr>
            </m:sSubPr>
            <m:e>
              <m:r>
                <w:rPr>
                  <w:rFonts w:ascii="Cambria Math" w:hAnsi="Cambria Math"/>
                </w:rPr>
                <m:t>TBS</m:t>
              </m:r>
            </m:e>
            <m:sub>
              <m:r>
                <w:rPr>
                  <w:rFonts w:ascii="Cambria Math" w:hAnsi="Cambria Math"/>
                </w:rPr>
                <m:t>TTI</m:t>
              </m:r>
            </m:sub>
          </m:sSub>
          <m:r>
            <w:rPr>
              <w:rFonts w:ascii="Cambria Math" w:hAnsi="Cambria Math"/>
            </w:rPr>
            <m:t>=TBS(#PRB,MCS) α(TTI, direction)</m:t>
          </m:r>
        </m:oMath>
      </m:oMathPara>
      <w:bookmarkStart w:id="30" w:name="_Toc493499910"/>
    </w:p>
    <w:p w14:paraId="7EB0097E" w14:textId="2CDF7BB1" w:rsidR="00B321D1" w:rsidRDefault="00B321D1" w:rsidP="00B321D1">
      <w:r>
        <w:t xml:space="preserve">which can then be adjusted to byte size and corrected for CRC. The sTTI solution is therefore to reuse the existing MCS set and scale the table. The DL TBS scaling factor </w:t>
      </w:r>
      <m:oMath>
        <m:r>
          <w:rPr>
            <w:rFonts w:ascii="Cambria Math" w:hAnsi="Cambria Math"/>
          </w:rPr>
          <m:t>α</m:t>
        </m:r>
      </m:oMath>
      <w:r>
        <w:t xml:space="preserve"> is </w:t>
      </w:r>
      <w:r w:rsidR="00A92730">
        <w:t>1/2</w:t>
      </w:r>
      <w:r>
        <w:t xml:space="preserve"> for slots, and 1/6 for subslots.</w:t>
      </w:r>
    </w:p>
    <w:p w14:paraId="42692C25" w14:textId="77777777" w:rsidR="00B321D1" w:rsidRDefault="00B321D1" w:rsidP="00B321D1">
      <w:r>
        <w:t xml:space="preserve">For URLLC operation, the legacy set of MCS may not be sufficient. Instead of extending or modifying the MCS set, it is possible to define an additional factor </w:t>
      </w:r>
      <m:oMath>
        <m:r>
          <w:rPr>
            <w:rFonts w:ascii="Cambria Math" w:hAnsi="Cambria Math"/>
          </w:rPr>
          <m:t>β(service)</m:t>
        </m:r>
      </m:oMath>
      <w:r>
        <w:t>&lt;1 such that</w:t>
      </w:r>
    </w:p>
    <w:p w14:paraId="57CF6D91" w14:textId="77777777" w:rsidR="00B321D1" w:rsidRDefault="004E1121" w:rsidP="00B321D1">
      <m:oMathPara>
        <m:oMath>
          <m:sSub>
            <m:sSubPr>
              <m:ctrlPr>
                <w:rPr>
                  <w:rFonts w:ascii="Cambria Math" w:hAnsi="Cambria Math"/>
                  <w:i/>
                </w:rPr>
              </m:ctrlPr>
            </m:sSubPr>
            <m:e>
              <m:r>
                <w:rPr>
                  <w:rFonts w:ascii="Cambria Math" w:hAnsi="Cambria Math"/>
                </w:rPr>
                <m:t>TBS</m:t>
              </m:r>
            </m:e>
            <m:sub>
              <m:r>
                <w:rPr>
                  <w:rFonts w:ascii="Cambria Math" w:hAnsi="Cambria Math"/>
                </w:rPr>
                <m:t>TTI,service</m:t>
              </m:r>
            </m:sub>
          </m:sSub>
          <m:r>
            <w:rPr>
              <w:rFonts w:ascii="Cambria Math" w:hAnsi="Cambria Math"/>
            </w:rPr>
            <m:t>=TBS(#PRB,MCS) α(TTI, direction)β(service)</m:t>
          </m:r>
        </m:oMath>
      </m:oMathPara>
    </w:p>
    <w:p w14:paraId="4BAB439E" w14:textId="6099E9A0" w:rsidR="00B321D1" w:rsidRDefault="00B321D1" w:rsidP="00B321D1">
      <w:r>
        <w:t xml:space="preserve">scaled for the configured service such that the code rate corresponding to a MCS is reduced. The factor </w:t>
      </w:r>
      <m:oMath>
        <m:r>
          <w:rPr>
            <w:rFonts w:ascii="Cambria Math" w:hAnsi="Cambria Math"/>
          </w:rPr>
          <m:t>β</m:t>
        </m:r>
      </m:oMath>
      <w:r>
        <w:t xml:space="preserve"> can be configured for the service, e.g. when using URLLC operation, and either always applied when a certain DCI is used, or applied when indicated in the DCI.</w:t>
      </w:r>
    </w:p>
    <w:bookmarkEnd w:id="30"/>
    <w:p w14:paraId="0AB0291F" w14:textId="7FCB9F4D" w:rsidR="00A2076B" w:rsidRDefault="00EB3405" w:rsidP="00A2076B">
      <w:pPr>
        <w:rPr>
          <w:lang w:val="en-GB"/>
        </w:rPr>
      </w:pPr>
      <w:r>
        <w:rPr>
          <w:lang w:val="en-GB"/>
        </w:rPr>
        <w:t>As an alternative to a TBS scaling factor, a separate MCS table for URLLC can be considered, supporting lower code rates. For efficient CQI reporting, a separate CQI table for URLLC can be defined, to align with the MCS table.</w:t>
      </w:r>
    </w:p>
    <w:p w14:paraId="19710988" w14:textId="19A59E8B" w:rsidR="00EB3405" w:rsidRPr="00AC1108" w:rsidRDefault="00391917" w:rsidP="00EB3405">
      <w:pPr>
        <w:pStyle w:val="Proposal"/>
      </w:pPr>
      <w:bookmarkStart w:id="31" w:name="_Toc498700890"/>
      <w:bookmarkStart w:id="32" w:name="_Toc498704886"/>
      <w:r>
        <w:rPr>
          <w:iCs/>
        </w:rPr>
        <w:lastRenderedPageBreak/>
        <w:t>Either a TBS scaling factor should be applied to MCS and CQI, or, s</w:t>
      </w:r>
      <w:r w:rsidR="00EB3405">
        <w:rPr>
          <w:iCs/>
        </w:rPr>
        <w:t>eparate MCS and CQI tables can be considered for URLLC</w:t>
      </w:r>
      <w:r w:rsidR="00EB3405">
        <w:t>.</w:t>
      </w:r>
      <w:bookmarkEnd w:id="31"/>
      <w:bookmarkEnd w:id="32"/>
    </w:p>
    <w:p w14:paraId="12720DAC" w14:textId="7D827ED2" w:rsidR="003424DE" w:rsidRDefault="003424DE" w:rsidP="003424DE">
      <w:pPr>
        <w:pStyle w:val="Heading2"/>
      </w:pPr>
      <w:r>
        <w:t>Downlink Control</w:t>
      </w:r>
    </w:p>
    <w:p w14:paraId="60DBE873" w14:textId="4303B100" w:rsidR="002F32BC" w:rsidRDefault="005C1826" w:rsidP="005C1826">
      <w:r>
        <w:t xml:space="preserve">To support high reliability with PDCCH (sPDCCH), </w:t>
      </w:r>
      <w:r w:rsidR="00AA1CCE">
        <w:t xml:space="preserve">which is </w:t>
      </w:r>
      <w:r>
        <w:t xml:space="preserve">required both for UL and DL data transmission, the code rate should be low enough to achieve the targeted reliability. If the current DCI sizes are not achieving low enough code rate, it can be lowered by two means: </w:t>
      </w:r>
    </w:p>
    <w:p w14:paraId="5E93EAF4" w14:textId="220DBF8E" w:rsidR="002F32BC" w:rsidRDefault="00286553" w:rsidP="002C52E8">
      <w:pPr>
        <w:pStyle w:val="ListParagraph"/>
        <w:numPr>
          <w:ilvl w:val="0"/>
          <w:numId w:val="9"/>
        </w:numPr>
      </w:pPr>
      <w:r>
        <w:t>I</w:t>
      </w:r>
      <w:r w:rsidR="005C1826">
        <w:t>ncreasing the code length (aggregation level)</w:t>
      </w:r>
      <w:r w:rsidR="002F32BC">
        <w:t>. PDCCH has up to 8 CCE, and EPDCCH has up to 32 ECCE. Although both CCE and ECCE nominally consist of 36 RE, they are not directly comparable, since the number of available resource in ECCE is reduced</w:t>
      </w:r>
      <w:r>
        <w:t xml:space="preserve"> </w:t>
      </w:r>
      <w:r w:rsidR="009069B9">
        <w:t>by colliding</w:t>
      </w:r>
      <w:r>
        <w:t xml:space="preserve"> CRS, CSI-RS etc. For SPDCCH, a similar setup is used, </w:t>
      </w:r>
      <w:r w:rsidR="009069B9">
        <w:t xml:space="preserve">using up to 8 SCCE, </w:t>
      </w:r>
      <w:r>
        <w:t>where an SCCE nominal</w:t>
      </w:r>
      <w:r w:rsidR="009069B9">
        <w:t>l</w:t>
      </w:r>
      <w:r>
        <w:t>y consists of 48 RE, which also can be punctured by e.g CRS.</w:t>
      </w:r>
    </w:p>
    <w:p w14:paraId="1A1C562A" w14:textId="047A60C3" w:rsidR="00286553" w:rsidRDefault="00286553" w:rsidP="002C52E8">
      <w:pPr>
        <w:pStyle w:val="ListParagraph"/>
        <w:numPr>
          <w:ilvl w:val="0"/>
          <w:numId w:val="9"/>
        </w:numPr>
      </w:pPr>
      <w:r>
        <w:t>R</w:t>
      </w:r>
      <w:r w:rsidR="005C1826">
        <w:t>educing the payload (DCI size).</w:t>
      </w:r>
      <w:r>
        <w:t xml:space="preserve"> Already for sTTI&amp;PT WI, the number of layers was reduced, to reduce the number of bits required in the DCI.</w:t>
      </w:r>
    </w:p>
    <w:p w14:paraId="62C69D48" w14:textId="77777777" w:rsidR="00286553" w:rsidRDefault="00286553" w:rsidP="002C52E8">
      <w:pPr>
        <w:pStyle w:val="ListParagraph"/>
      </w:pPr>
    </w:p>
    <w:p w14:paraId="37633C69" w14:textId="65DED8D4" w:rsidR="005C1826" w:rsidRDefault="005C1826" w:rsidP="002C52E8">
      <w:pPr>
        <w:pStyle w:val="ListParagraph"/>
        <w:ind w:left="0"/>
      </w:pPr>
      <w:r>
        <w:t>These two enhancements should be considered for reliable DL control.</w:t>
      </w:r>
    </w:p>
    <w:p w14:paraId="00DEC1A2" w14:textId="4E288606" w:rsidR="005C1826" w:rsidRPr="00AC1108" w:rsidRDefault="005C1826" w:rsidP="005C1826">
      <w:pPr>
        <w:pStyle w:val="Proposal"/>
      </w:pPr>
      <w:bookmarkStart w:id="33" w:name="_Toc498532302"/>
      <w:bookmarkStart w:id="34" w:name="_Toc498609751"/>
      <w:bookmarkStart w:id="35" w:name="_Toc498700891"/>
      <w:bookmarkStart w:id="36" w:name="_Toc498704887"/>
      <w:r>
        <w:t>Consider compact DCI size and higher aggregation levels for reliable DL control.</w:t>
      </w:r>
      <w:bookmarkEnd w:id="33"/>
      <w:bookmarkEnd w:id="34"/>
      <w:bookmarkEnd w:id="35"/>
      <w:bookmarkEnd w:id="36"/>
    </w:p>
    <w:p w14:paraId="25F6BE81" w14:textId="5B1619C1" w:rsidR="00D32706" w:rsidRDefault="003424DE" w:rsidP="00D32706">
      <w:pPr>
        <w:pStyle w:val="Heading2"/>
      </w:pPr>
      <w:r>
        <w:t>Uplink Data</w:t>
      </w:r>
    </w:p>
    <w:p w14:paraId="1860462B" w14:textId="77777777" w:rsidR="00DC1EB3" w:rsidRDefault="00DC1EB3" w:rsidP="00DC1EB3">
      <w:pPr>
        <w:pStyle w:val="Heading3"/>
        <w:rPr>
          <w:rFonts w:eastAsiaTheme="minorEastAsia"/>
          <w:lang w:val="en-US"/>
        </w:rPr>
      </w:pPr>
      <w:r>
        <w:rPr>
          <w:rFonts w:eastAsiaTheme="minorEastAsia"/>
          <w:lang w:val="en-US"/>
        </w:rPr>
        <w:t>UL repetition</w:t>
      </w:r>
    </w:p>
    <w:p w14:paraId="40709D36" w14:textId="59BE3B58" w:rsidR="00DC1EB3" w:rsidRDefault="00DC1EB3" w:rsidP="00DC1EB3">
      <w:r w:rsidRPr="008F687C">
        <w:t xml:space="preserve">In LTE, transport block repetition is already supported by TTI bundling. UE sends </w:t>
      </w:r>
      <w:r>
        <w:t xml:space="preserve">always </w:t>
      </w:r>
      <w:r w:rsidRPr="008F687C">
        <w:t>four copies of one transport block with a fixed RV pattern. Each additional copy is treated as one non-adaptive retransmission</w:t>
      </w:r>
      <w:r>
        <w:t>, and thus it can be configured for both dynamic scheduling and SPS.  The initial motivation for TTI bundling is to improve uplink coverage, and a couple of changes based on TTI bundling may be needed, for example, on the repetition number K and RV pattern. This should extend naturally to sTTI.</w:t>
      </w:r>
    </w:p>
    <w:p w14:paraId="33426C70" w14:textId="4CEA923B" w:rsidR="00DC1EB3" w:rsidRPr="00CE663B" w:rsidRDefault="00DC1EB3" w:rsidP="00FA2095">
      <w:pPr>
        <w:pStyle w:val="Proposal"/>
      </w:pPr>
      <w:bookmarkStart w:id="37" w:name="_Toc498609752"/>
      <w:bookmarkStart w:id="38" w:name="_Toc498700892"/>
      <w:bookmarkStart w:id="39" w:name="_Toc498704888"/>
      <w:r>
        <w:t>sTTI bundling is supported.</w:t>
      </w:r>
      <w:bookmarkEnd w:id="37"/>
      <w:bookmarkEnd w:id="38"/>
      <w:bookmarkEnd w:id="39"/>
    </w:p>
    <w:p w14:paraId="6E9A57BD" w14:textId="77777777" w:rsidR="00DC1EB3" w:rsidRDefault="00DC1EB3" w:rsidP="00DC1EB3">
      <w:r>
        <w:t>In the UL, eNB could indicate in the dynamic grant or configure semi-statically that UE should repeat K times with a given RV pattern. For SR-based scheduling, this is similar to TTI bundling.</w:t>
      </w:r>
    </w:p>
    <w:p w14:paraId="3224EE77" w14:textId="703E2248" w:rsidR="00DC1EB3" w:rsidRDefault="00DC1EB3" w:rsidP="00DC1EB3">
      <w:r>
        <w:t>For SPS UL, the K-factor could be given in the same way. However, with skipUplink and possibility to start transmission at any time, several issues need to be sorted-out. With SkipUplink, the RV scheme needs to be set to avoid the error case that the initial transmission is missed. In addition, if we configure a small SPS period and repetitions can happen on the SPS resources of the next periods, then HARQ process IDs computation needs to be studied.</w:t>
      </w:r>
    </w:p>
    <w:p w14:paraId="3388A764" w14:textId="6C6A579D" w:rsidR="00DC1EB3" w:rsidRPr="00C0193F" w:rsidRDefault="00C0193F" w:rsidP="00DC1EB3">
      <w:pPr>
        <w:pStyle w:val="Observation"/>
        <w:rPr>
          <w:color w:val="000000" w:themeColor="text1"/>
        </w:rPr>
      </w:pPr>
      <w:bookmarkStart w:id="40" w:name="_Toc498609746"/>
      <w:bookmarkStart w:id="41" w:name="_Toc498700897"/>
      <w:bookmarkStart w:id="42" w:name="_Toc498704880"/>
      <w:r>
        <w:rPr>
          <w:color w:val="000000" w:themeColor="text1"/>
        </w:rPr>
        <w:t>Repetition in SPS UL requires modification of HARQ PID and RV rules.</w:t>
      </w:r>
      <w:bookmarkEnd w:id="40"/>
      <w:bookmarkEnd w:id="41"/>
      <w:bookmarkEnd w:id="42"/>
      <w:r>
        <w:rPr>
          <w:color w:val="000000" w:themeColor="text1"/>
        </w:rPr>
        <w:t xml:space="preserve"> </w:t>
      </w:r>
    </w:p>
    <w:p w14:paraId="1C8A746F" w14:textId="77777777" w:rsidR="00DC1EB3" w:rsidRDefault="00DC1EB3" w:rsidP="00DC1EB3">
      <w:pPr>
        <w:pStyle w:val="Heading3"/>
      </w:pPr>
      <w:r>
        <w:t>Reliability mode for SPS UL</w:t>
      </w:r>
    </w:p>
    <w:p w14:paraId="06A17648" w14:textId="756E3D5E" w:rsidR="00DC1EB3" w:rsidRPr="0090022E" w:rsidRDefault="004255D8" w:rsidP="00DC1EB3">
      <w:pPr>
        <w:pStyle w:val="BodyText"/>
        <w:rPr>
          <w:lang w:val="en-GB"/>
        </w:rPr>
      </w:pPr>
      <w:r>
        <w:rPr>
          <w:lang w:val="en-GB"/>
        </w:rPr>
        <w:t>I</w:t>
      </w:r>
      <w:r w:rsidR="00DC1EB3" w:rsidRPr="0090022E">
        <w:rPr>
          <w:lang w:val="en-GB"/>
        </w:rPr>
        <w:t xml:space="preserve">n UL SPS transmission with SkipUplink being configured in LTE, the network (eNB) does not expect a transmission in every resource specified by the configured grant, and thus does not react if a transmission is not detected at eNB. In order to cover the potential error case that the not-detected transmission attempt was actually a non-decodable transmission, the eNB could react to that by sending a NACK on PHICH, and only sends an ACK on PHICH if an UL MAC PDU is correctly received.  In other words, eNB could always send NACK on PHICH unless an MAC PDU is successfully received. On the UE side, UE would only inspect PHICH channel after an associated UL transmission, and acts accordingly. </w:t>
      </w:r>
    </w:p>
    <w:p w14:paraId="7B436538" w14:textId="3750839B" w:rsidR="00DC1EB3" w:rsidRPr="0090022E" w:rsidRDefault="00DC1EB3" w:rsidP="00DC1EB3">
      <w:pPr>
        <w:pStyle w:val="BodyText"/>
        <w:rPr>
          <w:lang w:val="en-GB"/>
        </w:rPr>
      </w:pPr>
      <w:r w:rsidRPr="0090022E">
        <w:rPr>
          <w:lang w:val="en-GB"/>
        </w:rPr>
        <w:lastRenderedPageBreak/>
        <w:t xml:space="preserve">This mechanism exploits PHICH channel, but PHICH may not always exist for UL channel introduced in </w:t>
      </w:r>
      <w:r w:rsidR="000A7217">
        <w:rPr>
          <w:lang w:val="en-GB"/>
        </w:rPr>
        <w:t xml:space="preserve">the </w:t>
      </w:r>
      <w:r w:rsidR="000A7217">
        <w:t>sTTI&amp;PT</w:t>
      </w:r>
      <w:r w:rsidDel="000A7217">
        <w:t xml:space="preserve"> </w:t>
      </w:r>
      <w:r w:rsidRPr="0090022E">
        <w:rPr>
          <w:lang w:val="en-GB"/>
        </w:rPr>
        <w:t>WI. For UL SPS sTTI, it has been agreed that “</w:t>
      </w:r>
      <w:r>
        <w:t>PHICH-less asynchronous UL HARQ for sPUSCH is supported” and “</w:t>
      </w:r>
      <w:r w:rsidRPr="006C7F07">
        <w:t>RAN2 sees benefits to support SPS for short TTI</w:t>
      </w:r>
      <w:r>
        <w:t>”. In addition, RAN1 agree that “</w:t>
      </w:r>
      <w:r w:rsidRPr="0090022E">
        <w:rPr>
          <w:rFonts w:eastAsia="MS Mincho"/>
          <w:lang w:val="en-GB" w:eastAsia="ja-JP"/>
        </w:rPr>
        <w:t xml:space="preserve">PHICH-less asynchronous HARQ for UL is used for 1ms TTI with shortened processing time”. </w:t>
      </w:r>
    </w:p>
    <w:p w14:paraId="638F16F8" w14:textId="67131CE3" w:rsidR="00DC1EB3" w:rsidRDefault="00DC1EB3" w:rsidP="00DC1EB3">
      <w:pPr>
        <w:pStyle w:val="BodyText"/>
        <w:rPr>
          <w:lang w:val="en-GB"/>
        </w:rPr>
      </w:pPr>
      <w:r w:rsidRPr="0090022E">
        <w:rPr>
          <w:lang w:val="en-GB"/>
        </w:rPr>
        <w:t xml:space="preserve">One mitigation mechanism is to enforce the transmission of ACK feedback for each UL data transmission. Consequently, if no feedback is received within the configurable feedback time T, then UE considers that the transmission is not successful and should retransmit the packet. </w:t>
      </w:r>
    </w:p>
    <w:p w14:paraId="2F17E2C4" w14:textId="0FBF82BB" w:rsidR="00DC1EB3" w:rsidRPr="00AC1108" w:rsidRDefault="00DC1EB3" w:rsidP="00FA2095">
      <w:pPr>
        <w:pStyle w:val="Proposal"/>
      </w:pPr>
      <w:bookmarkStart w:id="43" w:name="_Toc498609753"/>
      <w:bookmarkStart w:id="44" w:name="_Toc498700893"/>
      <w:bookmarkStart w:id="45" w:name="_Toc498704889"/>
      <w:r w:rsidRPr="0090022E">
        <w:rPr>
          <w:lang w:val="en-GB"/>
        </w:rPr>
        <w:t>For UL data transmission without grant, a reliability enhancement feedback mode is introduced: UE waits for ACK feedback and assumes NACK if no-feedback is received</w:t>
      </w:r>
      <w:r>
        <w:t>.</w:t>
      </w:r>
      <w:bookmarkEnd w:id="43"/>
      <w:bookmarkEnd w:id="44"/>
      <w:bookmarkEnd w:id="45"/>
    </w:p>
    <w:p w14:paraId="6CA08750" w14:textId="4D09EE75" w:rsidR="004255D8" w:rsidRDefault="004255D8" w:rsidP="00DC1EB3">
      <w:pPr>
        <w:rPr>
          <w:lang w:val="en-GB"/>
        </w:rPr>
      </w:pPr>
      <w:r>
        <w:rPr>
          <w:lang w:val="en-GB"/>
        </w:rPr>
        <w:t>T</w:t>
      </w:r>
      <w:r w:rsidRPr="0090022E">
        <w:rPr>
          <w:lang w:val="en-GB"/>
        </w:rPr>
        <w:t xml:space="preserve">his </w:t>
      </w:r>
      <w:r>
        <w:rPr>
          <w:lang w:val="en-GB"/>
        </w:rPr>
        <w:t xml:space="preserve">scheme is used in the scenario that </w:t>
      </w:r>
      <w:r w:rsidRPr="0090022E">
        <w:rPr>
          <w:lang w:val="en-GB"/>
        </w:rPr>
        <w:t xml:space="preserve">packets </w:t>
      </w:r>
      <w:r>
        <w:rPr>
          <w:lang w:val="en-GB"/>
        </w:rPr>
        <w:t xml:space="preserve">might </w:t>
      </w:r>
      <w:r w:rsidRPr="0090022E">
        <w:rPr>
          <w:lang w:val="en-GB"/>
        </w:rPr>
        <w:t>require a very high reliability but in general has a lower traffic rate.</w:t>
      </w:r>
      <w:r>
        <w:rPr>
          <w:lang w:val="en-GB"/>
        </w:rPr>
        <w:t xml:space="preserve"> In such a scenario, sending ACK feedback for each UL transmission does not lead to a large resource utilization. </w:t>
      </w:r>
    </w:p>
    <w:p w14:paraId="7FF6D1D2" w14:textId="7D3FE7DD" w:rsidR="00D32706" w:rsidRPr="00D32706" w:rsidRDefault="00122388" w:rsidP="00D32706">
      <w:pPr>
        <w:pStyle w:val="Heading2"/>
      </w:pPr>
      <w:r>
        <w:t>Uplink Control</w:t>
      </w:r>
    </w:p>
    <w:p w14:paraId="2F8F8654" w14:textId="77777777" w:rsidR="00122388" w:rsidRDefault="00122388" w:rsidP="00122388">
      <w:pPr>
        <w:pStyle w:val="Heading3"/>
        <w:rPr>
          <w:lang w:val="en-US"/>
        </w:rPr>
      </w:pPr>
      <w:r>
        <w:t>Reliability</w:t>
      </w:r>
    </w:p>
    <w:p w14:paraId="302110B8" w14:textId="26490052" w:rsidR="00122388" w:rsidRPr="00626C0C" w:rsidRDefault="00122388" w:rsidP="00D32706">
      <w:r w:rsidRPr="00626C0C">
        <w:t xml:space="preserve">In contrast to data </w:t>
      </w:r>
      <w:r w:rsidRPr="00D32706">
        <w:rPr>
          <w:rStyle w:val="BodyTextChar"/>
        </w:rPr>
        <w:t>repetition discussed</w:t>
      </w:r>
      <w:r w:rsidRPr="00626C0C">
        <w:t xml:space="preserve"> above, if possible within latency bound, HARQ-based retransmission scheme allows </w:t>
      </w:r>
      <w:r w:rsidRPr="00D32706">
        <w:t>the system to meet the</w:t>
      </w:r>
      <w:r w:rsidRPr="00626C0C">
        <w:t xml:space="preserve"> strict reliability targets (e.g. 10</w:t>
      </w:r>
      <w:r w:rsidRPr="002C52E8">
        <w:rPr>
          <w:vertAlign w:val="superscript"/>
        </w:rPr>
        <w:t>-4</w:t>
      </w:r>
      <w:r w:rsidRPr="00626C0C">
        <w:t xml:space="preserve"> error probability within 10ms) with better spectral efficiency. </w:t>
      </w:r>
    </w:p>
    <w:p w14:paraId="7F8B3244" w14:textId="1D63075E" w:rsidR="00122388" w:rsidRDefault="00122388" w:rsidP="00D32706">
      <w:r w:rsidRPr="00626C0C">
        <w:t xml:space="preserve">One important aspect of HARQ-based transmission is the reliability of feedback channel. In DL transmission, feedback information such as HARQ-ACK is transmitted over PUCCH/sPUCCH. </w:t>
      </w:r>
      <w:r w:rsidR="00AA3AAE">
        <w:t xml:space="preserve">With retransmissions, we can set a relaxed requirement on PDSCH reliability. However, the reliability of the HARQ feedback (NACK received) must be considered. The PUCCH/sPUCCH reliability will in effect place a </w:t>
      </w:r>
      <w:r w:rsidR="00801FC8">
        <w:t xml:space="preserve">minimum </w:t>
      </w:r>
      <w:r w:rsidR="00AA3AAE">
        <w:t>requirement on how reliable a first transmission needs to be.</w:t>
      </w:r>
    </w:p>
    <w:p w14:paraId="35091F0A" w14:textId="77777777" w:rsidR="00AA3AAE" w:rsidRPr="000B7CFD" w:rsidRDefault="00AA3AAE" w:rsidP="00AA3AAE">
      <w:pPr>
        <w:pStyle w:val="Observation"/>
      </w:pPr>
      <w:bookmarkStart w:id="46" w:name="_Toc498532296"/>
      <w:bookmarkStart w:id="47" w:name="_Toc498609745"/>
      <w:bookmarkStart w:id="48" w:name="_Toc498700898"/>
      <w:bookmarkStart w:id="49" w:name="_Toc498704881"/>
      <w:r w:rsidRPr="00E347A6">
        <w:t xml:space="preserve">PUCCH/sPUCCH </w:t>
      </w:r>
      <w:r>
        <w:t>reliability is critical</w:t>
      </w:r>
      <w:r w:rsidRPr="00E347A6">
        <w:t xml:space="preserve"> for DL </w:t>
      </w:r>
      <w:r>
        <w:t>re</w:t>
      </w:r>
      <w:r w:rsidRPr="00E347A6">
        <w:t>transmission</w:t>
      </w:r>
      <w:r>
        <w:t>s.</w:t>
      </w:r>
      <w:bookmarkEnd w:id="46"/>
      <w:bookmarkEnd w:id="47"/>
      <w:bookmarkEnd w:id="48"/>
      <w:bookmarkEnd w:id="49"/>
    </w:p>
    <w:p w14:paraId="1A14493A" w14:textId="6425B290" w:rsidR="00122388" w:rsidRPr="00626C0C" w:rsidRDefault="00122388" w:rsidP="00D32706">
      <w:r w:rsidRPr="00626C0C">
        <w:t>In legacy LTE, requirements on HARQ-ACK are Pr(N2A) &lt;10</w:t>
      </w:r>
      <w:r w:rsidRPr="002C52E8">
        <w:rPr>
          <w:vertAlign w:val="superscript"/>
        </w:rPr>
        <w:t>-3</w:t>
      </w:r>
      <w:r w:rsidRPr="00626C0C">
        <w:t>, Pr(ACK error)&lt;10</w:t>
      </w:r>
      <w:r w:rsidRPr="002C52E8">
        <w:rPr>
          <w:vertAlign w:val="superscript"/>
        </w:rPr>
        <w:t>-2</w:t>
      </w:r>
      <w:r w:rsidRPr="00626C0C">
        <w:t>, and Pr(DTX2ACK)&lt;10</w:t>
      </w:r>
      <w:r w:rsidRPr="002C52E8">
        <w:rPr>
          <w:vertAlign w:val="superscript"/>
        </w:rPr>
        <w:t>-2</w:t>
      </w:r>
      <w:r w:rsidRPr="00626C0C">
        <w:t>. Depending on the number of retransmissions allowed within the latency budget, the requirements above may need to be strengthened. For example, if only one retransmission is possible, Pr(N2A) &lt;10</w:t>
      </w:r>
      <w:r w:rsidRPr="002C52E8">
        <w:rPr>
          <w:vertAlign w:val="superscript"/>
        </w:rPr>
        <w:t>-4</w:t>
      </w:r>
      <w:r w:rsidRPr="00626C0C">
        <w:t xml:space="preserve"> may be required. In the context of URLLC, sPUCCH is relevant for carrying HARQ-ACK for fast feedback operation. It has been studied in </w:t>
      </w:r>
      <w:r w:rsidR="00E85BE1">
        <w:t>sTTI&amp;</w:t>
      </w:r>
      <w:r w:rsidR="00A32C15">
        <w:t>S</w:t>
      </w:r>
      <w:r w:rsidR="00E85BE1">
        <w:t>PT</w:t>
      </w:r>
      <w:r w:rsidR="00E85BE1" w:rsidRPr="00626C0C" w:rsidDel="00E85BE1">
        <w:t xml:space="preserve"> </w:t>
      </w:r>
      <w:r w:rsidRPr="00626C0C">
        <w:t>WI that reliability of HARQ-ACK can be improved by configuring longer sPUCCH durations. Performance of different sPUCCH durations are given for example in [</w:t>
      </w:r>
      <w:r w:rsidR="00FD3EEF" w:rsidRPr="00F004D8">
        <w:t>2</w:t>
      </w:r>
      <w:r w:rsidRPr="00F004D8">
        <w:t>].</w:t>
      </w:r>
    </w:p>
    <w:p w14:paraId="1749E68D" w14:textId="6B3DAB7C" w:rsidR="00122388" w:rsidRDefault="00122388" w:rsidP="00D32706">
      <w:r w:rsidRPr="00626C0C">
        <w:t xml:space="preserve">Apart from HARQ-ACK, scheduling request (SR) is also carried by sPUCCH. For SR, the same mechanism in legacy LTE can be used, e.g., repetition with configurations of prohibit timer and maximum number of repetitions. </w:t>
      </w:r>
    </w:p>
    <w:p w14:paraId="37E89D8C" w14:textId="5803959B" w:rsidR="00A32C15" w:rsidRPr="00626C0C" w:rsidRDefault="00A32C15" w:rsidP="002C52E8">
      <w:pPr>
        <w:pStyle w:val="Observation"/>
      </w:pPr>
      <w:bookmarkStart w:id="50" w:name="_Toc498700899"/>
      <w:bookmarkStart w:id="51" w:name="_Toc498704882"/>
      <w:r>
        <w:t>SR repetitions can be catered for by appropriate settings of prohibit timer and maximum number of retransmissions</w:t>
      </w:r>
      <w:bookmarkEnd w:id="50"/>
      <w:bookmarkEnd w:id="51"/>
    </w:p>
    <w:p w14:paraId="091E76B5" w14:textId="77777777" w:rsidR="00122388" w:rsidRPr="00626C0C" w:rsidRDefault="00122388" w:rsidP="00D32706">
      <w:r w:rsidRPr="00626C0C">
        <w:t>To achieve ultra-high reliability, it is reasonable to assume that BS and UE operating with URLLC will be equipped with advanced antenna configurations. Multiple transmit and receive antennas at the BS and UE can provide a high order of diversity for sPUCCH transmission and thus improves overall reliability even further.</w:t>
      </w:r>
    </w:p>
    <w:p w14:paraId="70BCBC2B" w14:textId="77777777" w:rsidR="00122388" w:rsidRPr="005479AF" w:rsidRDefault="00122388" w:rsidP="00D32706">
      <w:pPr>
        <w:pStyle w:val="Observation"/>
      </w:pPr>
      <w:bookmarkStart w:id="52" w:name="_Toc498532297"/>
      <w:bookmarkStart w:id="53" w:name="_Toc498609747"/>
      <w:bookmarkStart w:id="54" w:name="_Toc498700900"/>
      <w:bookmarkStart w:id="55" w:name="_Toc498704883"/>
      <w:r>
        <w:t>Strengthened requirements on HARQ feedback for URLLC especially Pr(N2A) should be considered.</w:t>
      </w:r>
      <w:bookmarkEnd w:id="52"/>
      <w:bookmarkEnd w:id="53"/>
      <w:bookmarkEnd w:id="54"/>
      <w:bookmarkEnd w:id="55"/>
    </w:p>
    <w:p w14:paraId="138BA33A" w14:textId="77777777" w:rsidR="00122388" w:rsidRDefault="00122388" w:rsidP="00122388">
      <w:pPr>
        <w:pStyle w:val="Heading3"/>
        <w:rPr>
          <w:lang w:val="en-US"/>
        </w:rPr>
      </w:pPr>
      <w:r>
        <w:lastRenderedPageBreak/>
        <w:t>Latency</w:t>
      </w:r>
    </w:p>
    <w:p w14:paraId="7F0FFB80" w14:textId="154030CE" w:rsidR="00122388" w:rsidRDefault="00122388" w:rsidP="005826EF">
      <w:r w:rsidRPr="00626C0C">
        <w:t xml:space="preserve">Techniques developed </w:t>
      </w:r>
      <w:r w:rsidR="008363D3">
        <w:t>in the sTTI&amp;</w:t>
      </w:r>
      <w:r w:rsidR="003C665D">
        <w:t>S</w:t>
      </w:r>
      <w:r w:rsidR="008363D3">
        <w:t>PT WI</w:t>
      </w:r>
      <w:r w:rsidRPr="00626C0C">
        <w:t xml:space="preserve"> can be used to provide low latency operation for URLLC. For UL control, sPUCCH is most relevant for carrying HARQ-ACK for fast feedback. Different sPUCCH durations can be configured to suit reliability and latency requirements. For SR, it has been agreed [</w:t>
      </w:r>
      <w:r w:rsidR="00F004D8">
        <w:t>3</w:t>
      </w:r>
      <w:r w:rsidRPr="00626C0C">
        <w:t xml:space="preserve">] that SR periodicity for sTTI can as small as 2-symbol sTTI. This short periodicity also helps to reduce the alignment delay where the UE can transmit SR quickly without waiting too long for the next SR opportunity. </w:t>
      </w:r>
    </w:p>
    <w:bookmarkEnd w:id="24"/>
    <w:p w14:paraId="68A9E566" w14:textId="77777777" w:rsidR="00C75B4F" w:rsidRPr="000B7CFD" w:rsidRDefault="00C75B4F" w:rsidP="00C75B4F">
      <w:pPr>
        <w:pStyle w:val="Heading1"/>
      </w:pPr>
      <w:r w:rsidRPr="000B7CFD">
        <w:t>Conclusion</w:t>
      </w:r>
    </w:p>
    <w:p w14:paraId="5B5D5838" w14:textId="787C0B73" w:rsidR="00AC1108" w:rsidRDefault="00AC1108" w:rsidP="00032A21">
      <w:pPr>
        <w:pStyle w:val="BodyText"/>
        <w:rPr>
          <w:b/>
          <w:lang w:val="en-GB"/>
        </w:rPr>
      </w:pPr>
      <w:r w:rsidRPr="00032A21">
        <w:rPr>
          <w:lang w:val="en-GB"/>
        </w:rPr>
        <w:t xml:space="preserve">In section </w:t>
      </w:r>
      <w:r w:rsidRPr="00032A21">
        <w:rPr>
          <w:b/>
          <w:lang w:val="en-GB"/>
        </w:rPr>
        <w:fldChar w:fldCharType="begin"/>
      </w:r>
      <w:r w:rsidRPr="00032A21">
        <w:rPr>
          <w:lang w:val="en-GB"/>
        </w:rPr>
        <w:instrText xml:space="preserve"> REF _Ref178064866 \r \h </w:instrText>
      </w:r>
      <w:r w:rsidR="00032A21">
        <w:rPr>
          <w:b/>
          <w:lang w:val="en-GB"/>
        </w:rPr>
        <w:instrText xml:space="preserve"> \* MERGEFORMAT </w:instrText>
      </w:r>
      <w:r w:rsidRPr="00032A21">
        <w:rPr>
          <w:b/>
          <w:lang w:val="en-GB"/>
        </w:rPr>
      </w:r>
      <w:r w:rsidRPr="00032A21">
        <w:rPr>
          <w:b/>
          <w:lang w:val="en-GB"/>
        </w:rPr>
        <w:fldChar w:fldCharType="separate"/>
      </w:r>
      <w:r w:rsidR="00692DD9">
        <w:rPr>
          <w:lang w:val="en-GB"/>
        </w:rPr>
        <w:t>2</w:t>
      </w:r>
      <w:r w:rsidRPr="00032A21">
        <w:rPr>
          <w:b/>
          <w:lang w:val="en-GB"/>
        </w:rPr>
        <w:fldChar w:fldCharType="end"/>
      </w:r>
      <w:r w:rsidRPr="00032A21">
        <w:rPr>
          <w:lang w:val="en-GB"/>
        </w:rPr>
        <w:t xml:space="preserve"> we made the following observations:</w:t>
      </w:r>
    </w:p>
    <w:p w14:paraId="49742686" w14:textId="5D42981C" w:rsidR="00692DD9" w:rsidRDefault="00AC1108">
      <w:pPr>
        <w:pStyle w:val="TOC1"/>
        <w:rPr>
          <w:rFonts w:asciiTheme="minorHAnsi" w:eastAsiaTheme="minorEastAsia" w:hAnsiTheme="minorHAnsi" w:cstheme="minorBidi"/>
          <w:b w:val="0"/>
          <w:sz w:val="22"/>
          <w:lang w:val="sv-SE" w:eastAsia="sv-SE"/>
        </w:rPr>
      </w:pPr>
      <w:r>
        <w:rPr>
          <w:rFonts w:eastAsiaTheme="minorEastAsia"/>
          <w:sz w:val="22"/>
        </w:rPr>
        <w:fldChar w:fldCharType="begin"/>
      </w:r>
      <w:r>
        <w:instrText xml:space="preserve"> TOC \n \h \z \t "Observation;1" </w:instrText>
      </w:r>
      <w:r>
        <w:rPr>
          <w:rFonts w:eastAsiaTheme="minorEastAsia"/>
          <w:sz w:val="22"/>
        </w:rPr>
        <w:fldChar w:fldCharType="separate"/>
      </w:r>
      <w:hyperlink w:anchor="_Toc498704877" w:history="1">
        <w:r w:rsidR="00692DD9" w:rsidRPr="00B352EA">
          <w:rPr>
            <w:rStyle w:val="Hyperlink"/>
            <w14:scene3d>
              <w14:camera w14:prst="orthographicFront"/>
              <w14:lightRig w14:rig="threePt" w14:dir="t">
                <w14:rot w14:lat="0" w14:lon="0" w14:rev="0"/>
              </w14:lightRig>
            </w14:scene3d>
          </w:rPr>
          <w:t>Observation 1</w:t>
        </w:r>
        <w:r w:rsidR="00692DD9">
          <w:rPr>
            <w:rFonts w:asciiTheme="minorHAnsi" w:eastAsiaTheme="minorEastAsia" w:hAnsiTheme="minorHAnsi" w:cstheme="minorBidi"/>
            <w:b w:val="0"/>
            <w:sz w:val="22"/>
            <w:lang w:val="sv-SE" w:eastAsia="sv-SE"/>
          </w:rPr>
          <w:tab/>
        </w:r>
        <w:r w:rsidR="00692DD9" w:rsidRPr="00B352EA">
          <w:rPr>
            <w:rStyle w:val="Hyperlink"/>
          </w:rPr>
          <w:t>Extending the block transmission over multiple TTIs by applying a lower code rate, compared to applying time repetitions might lead to both longer alignment delay and decoding delay, and might not bring performance benefits in the end.</w:t>
        </w:r>
      </w:hyperlink>
    </w:p>
    <w:p w14:paraId="07F6BB06" w14:textId="47BDE844" w:rsidR="00692DD9" w:rsidRDefault="00692DD9">
      <w:pPr>
        <w:pStyle w:val="TOC1"/>
        <w:rPr>
          <w:rFonts w:asciiTheme="minorHAnsi" w:eastAsiaTheme="minorEastAsia" w:hAnsiTheme="minorHAnsi" w:cstheme="minorBidi"/>
          <w:b w:val="0"/>
          <w:sz w:val="22"/>
          <w:lang w:val="sv-SE" w:eastAsia="sv-SE"/>
        </w:rPr>
      </w:pPr>
      <w:hyperlink w:anchor="_Toc498704878" w:history="1">
        <w:r w:rsidRPr="00B352EA">
          <w:rPr>
            <w:rStyle w:val="Hyperlink"/>
            <w14:scene3d>
              <w14:camera w14:prst="orthographicFront"/>
              <w14:lightRig w14:rig="threePt" w14:dir="t">
                <w14:rot w14:lat="0" w14:lon="0" w14:rev="0"/>
              </w14:lightRig>
            </w14:scene3d>
          </w:rPr>
          <w:t>Observation 2</w:t>
        </w:r>
        <w:r>
          <w:rPr>
            <w:rFonts w:asciiTheme="minorHAnsi" w:eastAsiaTheme="minorEastAsia" w:hAnsiTheme="minorHAnsi" w:cstheme="minorBidi"/>
            <w:b w:val="0"/>
            <w:sz w:val="22"/>
            <w:lang w:val="sv-SE" w:eastAsia="sv-SE"/>
          </w:rPr>
          <w:tab/>
        </w:r>
        <w:r w:rsidRPr="00B352EA">
          <w:rPr>
            <w:rStyle w:val="Hyperlink"/>
          </w:rPr>
          <w:t>Repetition in DL and SR-based UL is supported without specification impact.</w:t>
        </w:r>
      </w:hyperlink>
    </w:p>
    <w:p w14:paraId="1F718E94" w14:textId="7CAD63B1" w:rsidR="00692DD9" w:rsidRDefault="00692DD9">
      <w:pPr>
        <w:pStyle w:val="TOC1"/>
        <w:rPr>
          <w:rFonts w:asciiTheme="minorHAnsi" w:eastAsiaTheme="minorEastAsia" w:hAnsiTheme="minorHAnsi" w:cstheme="minorBidi"/>
          <w:b w:val="0"/>
          <w:sz w:val="22"/>
          <w:lang w:val="sv-SE" w:eastAsia="sv-SE"/>
        </w:rPr>
      </w:pPr>
      <w:hyperlink w:anchor="_Toc498704879" w:history="1">
        <w:r w:rsidRPr="00B352EA">
          <w:rPr>
            <w:rStyle w:val="Hyperlink"/>
            <w14:scene3d>
              <w14:camera w14:prst="orthographicFront"/>
              <w14:lightRig w14:rig="threePt" w14:dir="t">
                <w14:rot w14:lat="0" w14:lon="0" w14:rev="0"/>
              </w14:lightRig>
            </w14:scene3d>
          </w:rPr>
          <w:t>Observation 3</w:t>
        </w:r>
        <w:r>
          <w:rPr>
            <w:rFonts w:asciiTheme="minorHAnsi" w:eastAsiaTheme="minorEastAsia" w:hAnsiTheme="minorHAnsi" w:cstheme="minorBidi"/>
            <w:b w:val="0"/>
            <w:sz w:val="22"/>
            <w:lang w:val="sv-SE" w:eastAsia="sv-SE"/>
          </w:rPr>
          <w:tab/>
        </w:r>
        <w:r w:rsidRPr="00B352EA">
          <w:rPr>
            <w:rStyle w:val="Hyperlink"/>
          </w:rPr>
          <w:t>Using subslot PDSCH transmissions will, compared to 1ms TTI transmission, provide lower latency, also allow for allow more HARQ based retransmissions, thereby improving spectral efficiency and possibly reliability.</w:t>
        </w:r>
      </w:hyperlink>
    </w:p>
    <w:p w14:paraId="62777C7C" w14:textId="1ACD21DA" w:rsidR="00692DD9" w:rsidRDefault="00692DD9">
      <w:pPr>
        <w:pStyle w:val="TOC1"/>
        <w:rPr>
          <w:rFonts w:asciiTheme="minorHAnsi" w:eastAsiaTheme="minorEastAsia" w:hAnsiTheme="minorHAnsi" w:cstheme="minorBidi"/>
          <w:b w:val="0"/>
          <w:sz w:val="22"/>
          <w:lang w:val="sv-SE" w:eastAsia="sv-SE"/>
        </w:rPr>
      </w:pPr>
      <w:hyperlink w:anchor="_Toc498704880" w:history="1">
        <w:r w:rsidRPr="00B352EA">
          <w:rPr>
            <w:rStyle w:val="Hyperlink"/>
            <w14:scene3d>
              <w14:camera w14:prst="orthographicFront"/>
              <w14:lightRig w14:rig="threePt" w14:dir="t">
                <w14:rot w14:lat="0" w14:lon="0" w14:rev="0"/>
              </w14:lightRig>
            </w14:scene3d>
          </w:rPr>
          <w:t>Observation 4</w:t>
        </w:r>
        <w:r>
          <w:rPr>
            <w:rFonts w:asciiTheme="minorHAnsi" w:eastAsiaTheme="minorEastAsia" w:hAnsiTheme="minorHAnsi" w:cstheme="minorBidi"/>
            <w:b w:val="0"/>
            <w:sz w:val="22"/>
            <w:lang w:val="sv-SE" w:eastAsia="sv-SE"/>
          </w:rPr>
          <w:tab/>
        </w:r>
        <w:r w:rsidRPr="00B352EA">
          <w:rPr>
            <w:rStyle w:val="Hyperlink"/>
          </w:rPr>
          <w:t>Repetition in SPS UL requires modification of HARQ PID and RV rules.</w:t>
        </w:r>
      </w:hyperlink>
    </w:p>
    <w:p w14:paraId="1CEF8E25" w14:textId="512FD099" w:rsidR="00692DD9" w:rsidRDefault="00692DD9">
      <w:pPr>
        <w:pStyle w:val="TOC1"/>
        <w:rPr>
          <w:rFonts w:asciiTheme="minorHAnsi" w:eastAsiaTheme="minorEastAsia" w:hAnsiTheme="minorHAnsi" w:cstheme="minorBidi"/>
          <w:b w:val="0"/>
          <w:sz w:val="22"/>
          <w:lang w:val="sv-SE" w:eastAsia="sv-SE"/>
        </w:rPr>
      </w:pPr>
      <w:hyperlink w:anchor="_Toc498704881" w:history="1">
        <w:r w:rsidRPr="00B352EA">
          <w:rPr>
            <w:rStyle w:val="Hyperlink"/>
            <w14:scene3d>
              <w14:camera w14:prst="orthographicFront"/>
              <w14:lightRig w14:rig="threePt" w14:dir="t">
                <w14:rot w14:lat="0" w14:lon="0" w14:rev="0"/>
              </w14:lightRig>
            </w14:scene3d>
          </w:rPr>
          <w:t>Observation 5</w:t>
        </w:r>
        <w:r>
          <w:rPr>
            <w:rFonts w:asciiTheme="minorHAnsi" w:eastAsiaTheme="minorEastAsia" w:hAnsiTheme="minorHAnsi" w:cstheme="minorBidi"/>
            <w:b w:val="0"/>
            <w:sz w:val="22"/>
            <w:lang w:val="sv-SE" w:eastAsia="sv-SE"/>
          </w:rPr>
          <w:tab/>
        </w:r>
        <w:r w:rsidRPr="00B352EA">
          <w:rPr>
            <w:rStyle w:val="Hyperlink"/>
          </w:rPr>
          <w:t>PUCCH/sPUCCH reliability is critical for DL retransmissions.</w:t>
        </w:r>
      </w:hyperlink>
    </w:p>
    <w:p w14:paraId="2D2CE6E7" w14:textId="00C68729" w:rsidR="00692DD9" w:rsidRDefault="00692DD9">
      <w:pPr>
        <w:pStyle w:val="TOC1"/>
        <w:rPr>
          <w:rFonts w:asciiTheme="minorHAnsi" w:eastAsiaTheme="minorEastAsia" w:hAnsiTheme="minorHAnsi" w:cstheme="minorBidi"/>
          <w:b w:val="0"/>
          <w:sz w:val="22"/>
          <w:lang w:val="sv-SE" w:eastAsia="sv-SE"/>
        </w:rPr>
      </w:pPr>
      <w:hyperlink w:anchor="_Toc498704882" w:history="1">
        <w:r w:rsidRPr="00B352EA">
          <w:rPr>
            <w:rStyle w:val="Hyperlink"/>
            <w14:scene3d>
              <w14:camera w14:prst="orthographicFront"/>
              <w14:lightRig w14:rig="threePt" w14:dir="t">
                <w14:rot w14:lat="0" w14:lon="0" w14:rev="0"/>
              </w14:lightRig>
            </w14:scene3d>
          </w:rPr>
          <w:t>Observation 6</w:t>
        </w:r>
        <w:r>
          <w:rPr>
            <w:rFonts w:asciiTheme="minorHAnsi" w:eastAsiaTheme="minorEastAsia" w:hAnsiTheme="minorHAnsi" w:cstheme="minorBidi"/>
            <w:b w:val="0"/>
            <w:sz w:val="22"/>
            <w:lang w:val="sv-SE" w:eastAsia="sv-SE"/>
          </w:rPr>
          <w:tab/>
        </w:r>
        <w:r w:rsidRPr="00B352EA">
          <w:rPr>
            <w:rStyle w:val="Hyperlink"/>
          </w:rPr>
          <w:t>SR repetitions can be catered for by appropriate settings of prohibit timer and maximum number of retransmissions</w:t>
        </w:r>
      </w:hyperlink>
    </w:p>
    <w:p w14:paraId="2EA2EE02" w14:textId="257A0F12" w:rsidR="00692DD9" w:rsidRDefault="00692DD9">
      <w:pPr>
        <w:pStyle w:val="TOC1"/>
        <w:rPr>
          <w:rFonts w:asciiTheme="minorHAnsi" w:eastAsiaTheme="minorEastAsia" w:hAnsiTheme="minorHAnsi" w:cstheme="minorBidi"/>
          <w:b w:val="0"/>
          <w:sz w:val="22"/>
          <w:lang w:val="sv-SE" w:eastAsia="sv-SE"/>
        </w:rPr>
      </w:pPr>
      <w:hyperlink w:anchor="_Toc498704883" w:history="1">
        <w:r w:rsidRPr="00B352EA">
          <w:rPr>
            <w:rStyle w:val="Hyperlink"/>
            <w14:scene3d>
              <w14:camera w14:prst="orthographicFront"/>
              <w14:lightRig w14:rig="threePt" w14:dir="t">
                <w14:rot w14:lat="0" w14:lon="0" w14:rev="0"/>
              </w14:lightRig>
            </w14:scene3d>
          </w:rPr>
          <w:t>Observation 7</w:t>
        </w:r>
        <w:r>
          <w:rPr>
            <w:rFonts w:asciiTheme="minorHAnsi" w:eastAsiaTheme="minorEastAsia" w:hAnsiTheme="minorHAnsi" w:cstheme="minorBidi"/>
            <w:b w:val="0"/>
            <w:sz w:val="22"/>
            <w:lang w:val="sv-SE" w:eastAsia="sv-SE"/>
          </w:rPr>
          <w:tab/>
        </w:r>
        <w:r w:rsidRPr="00B352EA">
          <w:rPr>
            <w:rStyle w:val="Hyperlink"/>
          </w:rPr>
          <w:t>Strengthened requirements on HARQ feedback for URLLC especially Pr(N2A) should be considered.</w:t>
        </w:r>
      </w:hyperlink>
    </w:p>
    <w:p w14:paraId="079AEDAD" w14:textId="7273398F" w:rsidR="00AC1108" w:rsidRPr="000B7CFD" w:rsidRDefault="00AC1108" w:rsidP="00D32706">
      <w:r>
        <w:fldChar w:fldCharType="end"/>
      </w:r>
      <w:bookmarkStart w:id="56" w:name="_GoBack"/>
      <w:bookmarkEnd w:id="56"/>
    </w:p>
    <w:p w14:paraId="2C3D4288" w14:textId="78F94357" w:rsidR="00141982" w:rsidRDefault="00141982" w:rsidP="00032A21">
      <w:pPr>
        <w:pStyle w:val="BodyText"/>
        <w:rPr>
          <w:b/>
          <w:lang w:val="en-GB"/>
        </w:rPr>
      </w:pPr>
      <w:r w:rsidRPr="00032A21">
        <w:rPr>
          <w:lang w:val="en-GB"/>
        </w:rPr>
        <w:t xml:space="preserve">Based on the discussion in section </w:t>
      </w:r>
      <w:r w:rsidRPr="008E64CF">
        <w:rPr>
          <w:b/>
          <w:highlight w:val="cyan"/>
          <w:lang w:val="en-GB"/>
        </w:rPr>
        <w:fldChar w:fldCharType="begin"/>
      </w:r>
      <w:r w:rsidRPr="008E64CF">
        <w:rPr>
          <w:lang w:val="en-GB"/>
        </w:rPr>
        <w:instrText xml:space="preserve"> REF _Ref178064866 \r \h </w:instrText>
      </w:r>
      <w:r w:rsidRPr="008E64CF">
        <w:rPr>
          <w:highlight w:val="cyan"/>
          <w:lang w:val="en-GB"/>
        </w:rPr>
        <w:instrText xml:space="preserve"> \* MERGEFORMAT </w:instrText>
      </w:r>
      <w:r w:rsidRPr="008E64CF">
        <w:rPr>
          <w:b/>
          <w:highlight w:val="cyan"/>
          <w:lang w:val="en-GB"/>
        </w:rPr>
      </w:r>
      <w:r w:rsidRPr="008E64CF">
        <w:rPr>
          <w:b/>
          <w:highlight w:val="cyan"/>
          <w:lang w:val="en-GB"/>
        </w:rPr>
        <w:fldChar w:fldCharType="separate"/>
      </w:r>
      <w:r w:rsidR="00692DD9">
        <w:rPr>
          <w:lang w:val="en-GB"/>
        </w:rPr>
        <w:t>2</w:t>
      </w:r>
      <w:r w:rsidRPr="008E64CF">
        <w:rPr>
          <w:b/>
          <w:highlight w:val="cyan"/>
          <w:lang w:val="en-GB"/>
        </w:rPr>
        <w:fldChar w:fldCharType="end"/>
      </w:r>
      <w:r w:rsidRPr="008E64CF">
        <w:rPr>
          <w:lang w:val="en-GB"/>
        </w:rPr>
        <w:t xml:space="preserve"> we </w:t>
      </w:r>
      <w:r w:rsidR="00AC1108">
        <w:rPr>
          <w:lang w:val="en-GB"/>
        </w:rPr>
        <w:t xml:space="preserve">have </w:t>
      </w:r>
      <w:r>
        <w:rPr>
          <w:lang w:val="en-GB"/>
        </w:rPr>
        <w:t>the following proposals:</w:t>
      </w:r>
    </w:p>
    <w:p w14:paraId="6E7ADC19" w14:textId="1424276B" w:rsidR="00692DD9" w:rsidRDefault="00141982">
      <w:pPr>
        <w:pStyle w:val="TOC1"/>
        <w:rPr>
          <w:rFonts w:asciiTheme="minorHAnsi" w:eastAsiaTheme="minorEastAsia" w:hAnsiTheme="minorHAnsi" w:cstheme="minorBidi"/>
          <w:b w:val="0"/>
          <w:sz w:val="22"/>
          <w:lang w:val="sv-SE" w:eastAsia="sv-SE"/>
        </w:rPr>
      </w:pPr>
      <w:r>
        <w:rPr>
          <w:rFonts w:eastAsiaTheme="minorEastAsia"/>
          <w:b w:val="0"/>
          <w:sz w:val="22"/>
          <w:lang w:val="en-GB"/>
        </w:rPr>
        <w:fldChar w:fldCharType="begin"/>
      </w:r>
      <w:r>
        <w:rPr>
          <w:b w:val="0"/>
          <w:lang w:val="en-GB"/>
        </w:rPr>
        <w:instrText xml:space="preserve"> TOC \n \h \z \t "Proposal;1" </w:instrText>
      </w:r>
      <w:r>
        <w:rPr>
          <w:rFonts w:eastAsiaTheme="minorEastAsia"/>
          <w:b w:val="0"/>
          <w:sz w:val="22"/>
          <w:lang w:val="en-GB"/>
        </w:rPr>
        <w:fldChar w:fldCharType="separate"/>
      </w:r>
      <w:hyperlink w:anchor="_Toc498704884" w:history="1">
        <w:r w:rsidR="00692DD9" w:rsidRPr="00C30E60">
          <w:rPr>
            <w:rStyle w:val="Hyperlink"/>
          </w:rPr>
          <w:t>Proposal 1</w:t>
        </w:r>
        <w:r w:rsidR="00692DD9">
          <w:rPr>
            <w:rFonts w:asciiTheme="minorHAnsi" w:eastAsiaTheme="minorEastAsia" w:hAnsiTheme="minorHAnsi" w:cstheme="minorBidi"/>
            <w:b w:val="0"/>
            <w:sz w:val="22"/>
            <w:lang w:val="sv-SE" w:eastAsia="sv-SE"/>
          </w:rPr>
          <w:tab/>
        </w:r>
        <w:r w:rsidR="00692DD9" w:rsidRPr="00C30E60">
          <w:rPr>
            <w:rStyle w:val="Hyperlink"/>
          </w:rPr>
          <w:t>Transport block repetition is supported for ultra-high reliability within the latency bound.</w:t>
        </w:r>
      </w:hyperlink>
    </w:p>
    <w:p w14:paraId="7A5A8C8F" w14:textId="555A9394" w:rsidR="00692DD9" w:rsidRDefault="00692DD9">
      <w:pPr>
        <w:pStyle w:val="TOC1"/>
        <w:rPr>
          <w:rFonts w:asciiTheme="minorHAnsi" w:eastAsiaTheme="minorEastAsia" w:hAnsiTheme="minorHAnsi" w:cstheme="minorBidi"/>
          <w:b w:val="0"/>
          <w:sz w:val="22"/>
          <w:lang w:val="sv-SE" w:eastAsia="sv-SE"/>
        </w:rPr>
      </w:pPr>
      <w:hyperlink w:anchor="_Toc498704885" w:history="1">
        <w:r w:rsidRPr="00C30E60">
          <w:rPr>
            <w:rStyle w:val="Hyperlink"/>
          </w:rPr>
          <w:t>Proposal 2</w:t>
        </w:r>
        <w:r>
          <w:rPr>
            <w:rFonts w:asciiTheme="minorHAnsi" w:eastAsiaTheme="minorEastAsia" w:hAnsiTheme="minorHAnsi" w:cstheme="minorBidi"/>
            <w:b w:val="0"/>
            <w:sz w:val="22"/>
            <w:lang w:val="sv-SE" w:eastAsia="sv-SE"/>
          </w:rPr>
          <w:tab/>
        </w:r>
        <w:r w:rsidRPr="00C30E60">
          <w:rPr>
            <w:rStyle w:val="Hyperlink"/>
          </w:rPr>
          <w:t>A variable number of repetitions for SPS UL should be supported and is to be controlled by the eNB.</w:t>
        </w:r>
      </w:hyperlink>
    </w:p>
    <w:p w14:paraId="7ECF5649" w14:textId="38E2699D" w:rsidR="00692DD9" w:rsidRDefault="00692DD9">
      <w:pPr>
        <w:pStyle w:val="TOC1"/>
        <w:rPr>
          <w:rFonts w:asciiTheme="minorHAnsi" w:eastAsiaTheme="minorEastAsia" w:hAnsiTheme="minorHAnsi" w:cstheme="minorBidi"/>
          <w:b w:val="0"/>
          <w:sz w:val="22"/>
          <w:lang w:val="sv-SE" w:eastAsia="sv-SE"/>
        </w:rPr>
      </w:pPr>
      <w:hyperlink w:anchor="_Toc498704886" w:history="1">
        <w:r w:rsidRPr="00C30E60">
          <w:rPr>
            <w:rStyle w:val="Hyperlink"/>
          </w:rPr>
          <w:t>Proposal 3</w:t>
        </w:r>
        <w:r>
          <w:rPr>
            <w:rFonts w:asciiTheme="minorHAnsi" w:eastAsiaTheme="minorEastAsia" w:hAnsiTheme="minorHAnsi" w:cstheme="minorBidi"/>
            <w:b w:val="0"/>
            <w:sz w:val="22"/>
            <w:lang w:val="sv-SE" w:eastAsia="sv-SE"/>
          </w:rPr>
          <w:tab/>
        </w:r>
        <w:r w:rsidRPr="00C30E60">
          <w:rPr>
            <w:rStyle w:val="Hyperlink"/>
          </w:rPr>
          <w:t>Either a TBS scaling factor should be applied to MCS and CQI, or, separate MCS and CQI tables can be considered for URLLC.</w:t>
        </w:r>
      </w:hyperlink>
    </w:p>
    <w:p w14:paraId="732E36F6" w14:textId="020F00AB" w:rsidR="00692DD9" w:rsidRDefault="00692DD9">
      <w:pPr>
        <w:pStyle w:val="TOC1"/>
        <w:rPr>
          <w:rFonts w:asciiTheme="minorHAnsi" w:eastAsiaTheme="minorEastAsia" w:hAnsiTheme="minorHAnsi" w:cstheme="minorBidi"/>
          <w:b w:val="0"/>
          <w:sz w:val="22"/>
          <w:lang w:val="sv-SE" w:eastAsia="sv-SE"/>
        </w:rPr>
      </w:pPr>
      <w:hyperlink w:anchor="_Toc498704887" w:history="1">
        <w:r w:rsidRPr="00C30E60">
          <w:rPr>
            <w:rStyle w:val="Hyperlink"/>
          </w:rPr>
          <w:t>Proposal 4</w:t>
        </w:r>
        <w:r>
          <w:rPr>
            <w:rFonts w:asciiTheme="minorHAnsi" w:eastAsiaTheme="minorEastAsia" w:hAnsiTheme="minorHAnsi" w:cstheme="minorBidi"/>
            <w:b w:val="0"/>
            <w:sz w:val="22"/>
            <w:lang w:val="sv-SE" w:eastAsia="sv-SE"/>
          </w:rPr>
          <w:tab/>
        </w:r>
        <w:r w:rsidRPr="00C30E60">
          <w:rPr>
            <w:rStyle w:val="Hyperlink"/>
          </w:rPr>
          <w:t>Consider compact DCI size and higher aggregation levels for reliable DL control.</w:t>
        </w:r>
      </w:hyperlink>
    </w:p>
    <w:p w14:paraId="4EFF72BA" w14:textId="5970C306" w:rsidR="00692DD9" w:rsidRDefault="00692DD9">
      <w:pPr>
        <w:pStyle w:val="TOC1"/>
        <w:rPr>
          <w:rFonts w:asciiTheme="minorHAnsi" w:eastAsiaTheme="minorEastAsia" w:hAnsiTheme="minorHAnsi" w:cstheme="minorBidi"/>
          <w:b w:val="0"/>
          <w:sz w:val="22"/>
          <w:lang w:val="sv-SE" w:eastAsia="sv-SE"/>
        </w:rPr>
      </w:pPr>
      <w:hyperlink w:anchor="_Toc498704888" w:history="1">
        <w:r w:rsidRPr="00C30E60">
          <w:rPr>
            <w:rStyle w:val="Hyperlink"/>
          </w:rPr>
          <w:t>Proposal 5</w:t>
        </w:r>
        <w:r>
          <w:rPr>
            <w:rFonts w:asciiTheme="minorHAnsi" w:eastAsiaTheme="minorEastAsia" w:hAnsiTheme="minorHAnsi" w:cstheme="minorBidi"/>
            <w:b w:val="0"/>
            <w:sz w:val="22"/>
            <w:lang w:val="sv-SE" w:eastAsia="sv-SE"/>
          </w:rPr>
          <w:tab/>
        </w:r>
        <w:r w:rsidRPr="00C30E60">
          <w:rPr>
            <w:rStyle w:val="Hyperlink"/>
          </w:rPr>
          <w:t>sTTI bundling is supported.</w:t>
        </w:r>
      </w:hyperlink>
    </w:p>
    <w:p w14:paraId="38E1310C" w14:textId="6F7CB2F4" w:rsidR="00692DD9" w:rsidRDefault="00692DD9">
      <w:pPr>
        <w:pStyle w:val="TOC1"/>
        <w:rPr>
          <w:rFonts w:asciiTheme="minorHAnsi" w:eastAsiaTheme="minorEastAsia" w:hAnsiTheme="minorHAnsi" w:cstheme="minorBidi"/>
          <w:b w:val="0"/>
          <w:sz w:val="22"/>
          <w:lang w:val="sv-SE" w:eastAsia="sv-SE"/>
        </w:rPr>
      </w:pPr>
      <w:hyperlink w:anchor="_Toc498704889" w:history="1">
        <w:r w:rsidRPr="00C30E60">
          <w:rPr>
            <w:rStyle w:val="Hyperlink"/>
          </w:rPr>
          <w:t>Proposal 6</w:t>
        </w:r>
        <w:r>
          <w:rPr>
            <w:rFonts w:asciiTheme="minorHAnsi" w:eastAsiaTheme="minorEastAsia" w:hAnsiTheme="minorHAnsi" w:cstheme="minorBidi"/>
            <w:b w:val="0"/>
            <w:sz w:val="22"/>
            <w:lang w:val="sv-SE" w:eastAsia="sv-SE"/>
          </w:rPr>
          <w:tab/>
        </w:r>
        <w:r w:rsidRPr="00C30E60">
          <w:rPr>
            <w:rStyle w:val="Hyperlink"/>
          </w:rPr>
          <w:t>For UL data transmission without grant, a reliability enhancement feedback mode is introduced: UE waits for ACK feedback and assumes NACK if no-feedback is received.</w:t>
        </w:r>
      </w:hyperlink>
    </w:p>
    <w:p w14:paraId="748C014C" w14:textId="2DCEB823" w:rsidR="00C75B4F" w:rsidRPr="000B7CFD" w:rsidRDefault="00141982" w:rsidP="00D32706">
      <w:r>
        <w:rPr>
          <w:lang w:val="en-GB"/>
        </w:rPr>
        <w:fldChar w:fldCharType="end"/>
      </w:r>
    </w:p>
    <w:p w14:paraId="3A1AA384" w14:textId="77777777" w:rsidR="00C75B4F" w:rsidRPr="000B7CFD" w:rsidRDefault="00C75B4F" w:rsidP="00C75B4F">
      <w:pPr>
        <w:pStyle w:val="Heading1"/>
      </w:pPr>
      <w:bookmarkStart w:id="57" w:name="_In-sequence_SDU_delivery"/>
      <w:bookmarkEnd w:id="57"/>
      <w:r w:rsidRPr="000B7CFD">
        <w:t>References</w:t>
      </w:r>
    </w:p>
    <w:bookmarkStart w:id="58" w:name="_Ref497979966"/>
    <w:bookmarkStart w:id="59" w:name="_Ref174151459"/>
    <w:bookmarkStart w:id="60" w:name="_Ref189809556"/>
    <w:p w14:paraId="635C4F81" w14:textId="5791A646" w:rsidR="000B7CFD" w:rsidRPr="00B25648" w:rsidRDefault="00692DD9" w:rsidP="00B25648">
      <w:pPr>
        <w:pStyle w:val="Reference"/>
      </w:pPr>
      <w:r w:rsidRPr="00692DD9">
        <w:fldChar w:fldCharType="begin"/>
      </w:r>
      <w:r w:rsidRPr="00692DD9">
        <w:instrText xml:space="preserve"> HYPERLINK "ftp://www.3gpp.org/tsg_ran/WG1_RL1/TSGR1_91/Docs/R1-1720535.zip" </w:instrText>
      </w:r>
      <w:r w:rsidRPr="00692DD9">
        <w:fldChar w:fldCharType="separate"/>
      </w:r>
      <w:r w:rsidRPr="00692DD9">
        <w:rPr>
          <w:rStyle w:val="Hyperlink"/>
          <w:lang w:val="en-US"/>
        </w:rPr>
        <w:t>R1-1720535</w:t>
      </w:r>
      <w:r w:rsidRPr="00692DD9">
        <w:fldChar w:fldCharType="end"/>
      </w:r>
      <w:r w:rsidR="009529DA" w:rsidRPr="00B25648">
        <w:t xml:space="preserve">, </w:t>
      </w:r>
      <w:r w:rsidR="000B7CFD" w:rsidRPr="00B25648">
        <w:t>Evaluation of latency in LTE</w:t>
      </w:r>
      <w:r w:rsidR="009529DA" w:rsidRPr="00B25648">
        <w:t>, Ericsson</w:t>
      </w:r>
      <w:bookmarkEnd w:id="58"/>
      <w:r w:rsidR="00B25648" w:rsidRPr="00B25648">
        <w:t>, RAN1#91, Nov-Dec 2017</w:t>
      </w:r>
    </w:p>
    <w:bookmarkEnd w:id="59"/>
    <w:bookmarkEnd w:id="60"/>
    <w:p w14:paraId="6496A1E2" w14:textId="561C7525" w:rsidR="00F004D8" w:rsidRDefault="00692DD9" w:rsidP="00F004D8">
      <w:pPr>
        <w:pStyle w:val="Reference"/>
      </w:pPr>
      <w:r>
        <w:fldChar w:fldCharType="begin"/>
      </w:r>
      <w:r>
        <w:instrText xml:space="preserve"> HYPERLINK "ftp://www.3gpp.org/tsg_ran/WG1_RL1//TSGR1_90b/Docs/R1-1717165.zip" </w:instrText>
      </w:r>
      <w:r>
        <w:fldChar w:fldCharType="separate"/>
      </w:r>
      <w:r>
        <w:rPr>
          <w:rStyle w:val="Hyperlink"/>
          <w:lang w:val="en-US"/>
        </w:rPr>
        <w:t>R1-1717165</w:t>
      </w:r>
      <w:r>
        <w:fldChar w:fldCharType="end"/>
      </w:r>
      <w:r w:rsidR="00F004D8">
        <w:t xml:space="preserve">, </w:t>
      </w:r>
      <w:r w:rsidR="00F004D8" w:rsidRPr="00F9728F">
        <w:t>Design aspects of sPUCCH</w:t>
      </w:r>
      <w:r w:rsidR="00F004D8">
        <w:t>,</w:t>
      </w:r>
      <w:r w:rsidR="00F004D8" w:rsidRPr="00FD3EEF">
        <w:t xml:space="preserve"> </w:t>
      </w:r>
      <w:r w:rsidR="00F004D8" w:rsidRPr="00B25648">
        <w:t>Ericsson, RAN1#9</w:t>
      </w:r>
      <w:r w:rsidR="00F004D8">
        <w:t>0bis</w:t>
      </w:r>
      <w:r w:rsidR="00F004D8" w:rsidRPr="00B25648">
        <w:t xml:space="preserve">, </w:t>
      </w:r>
      <w:r w:rsidR="00F004D8">
        <w:t>Oct</w:t>
      </w:r>
      <w:r w:rsidR="00F004D8" w:rsidRPr="00B25648">
        <w:t xml:space="preserve"> 2017</w:t>
      </w:r>
    </w:p>
    <w:p w14:paraId="4A57232C" w14:textId="792ECAA2" w:rsidR="007A513A" w:rsidRDefault="007A513A" w:rsidP="002C52E8">
      <w:pPr>
        <w:pStyle w:val="Reference"/>
        <w:numPr>
          <w:ilvl w:val="0"/>
          <w:numId w:val="0"/>
        </w:numPr>
        <w:ind w:left="567"/>
      </w:pPr>
    </w:p>
    <w:p w14:paraId="01370063" w14:textId="77777777" w:rsidR="001B6593" w:rsidRPr="000B7CFD" w:rsidRDefault="001B6593" w:rsidP="00D32706"/>
    <w:sectPr w:rsidR="001B6593" w:rsidRPr="000B7CF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D54F5" w14:textId="77777777" w:rsidR="004E1121" w:rsidRDefault="004E1121" w:rsidP="00D32706">
      <w:r>
        <w:separator/>
      </w:r>
    </w:p>
  </w:endnote>
  <w:endnote w:type="continuationSeparator" w:id="0">
    <w:p w14:paraId="4BEC0861" w14:textId="77777777" w:rsidR="004E1121" w:rsidRDefault="004E1121" w:rsidP="00D32706">
      <w:r>
        <w:continuationSeparator/>
      </w:r>
    </w:p>
  </w:endnote>
  <w:endnote w:type="continuationNotice" w:id="1">
    <w:p w14:paraId="5E366A2C" w14:textId="77777777" w:rsidR="004E1121" w:rsidRDefault="004E1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3A02" w14:textId="77777777" w:rsidR="004E1121" w:rsidRDefault="004E1121" w:rsidP="00D32706">
      <w:r>
        <w:separator/>
      </w:r>
    </w:p>
  </w:footnote>
  <w:footnote w:type="continuationSeparator" w:id="0">
    <w:p w14:paraId="36870583" w14:textId="77777777" w:rsidR="004E1121" w:rsidRDefault="004E1121" w:rsidP="00D32706">
      <w:r>
        <w:continuationSeparator/>
      </w:r>
    </w:p>
  </w:footnote>
  <w:footnote w:type="continuationNotice" w:id="1">
    <w:p w14:paraId="019DCC9D" w14:textId="77777777" w:rsidR="004E1121" w:rsidRDefault="004E1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77015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F6A2E"/>
    <w:multiLevelType w:val="hybridMultilevel"/>
    <w:tmpl w:val="799CD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E452AECE"/>
    <w:lvl w:ilvl="0" w:tplc="8E50FE16">
      <w:start w:val="1"/>
      <w:numFmt w:val="decimal"/>
      <w:pStyle w:val="Observation"/>
      <w:lvlText w:val="Observation %1"/>
      <w:lvlJc w:val="left"/>
      <w:pPr>
        <w:ind w:left="92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B1E"/>
    <w:rsid w:val="00021B1E"/>
    <w:rsid w:val="0002457B"/>
    <w:rsid w:val="00032A21"/>
    <w:rsid w:val="000506EF"/>
    <w:rsid w:val="00076106"/>
    <w:rsid w:val="00097E65"/>
    <w:rsid w:val="000A7217"/>
    <w:rsid w:val="000B17ED"/>
    <w:rsid w:val="000B7CFD"/>
    <w:rsid w:val="000C05B9"/>
    <w:rsid w:val="000C47A1"/>
    <w:rsid w:val="000E1B63"/>
    <w:rsid w:val="000F2184"/>
    <w:rsid w:val="00122388"/>
    <w:rsid w:val="00127AC0"/>
    <w:rsid w:val="00136E69"/>
    <w:rsid w:val="00141982"/>
    <w:rsid w:val="00144620"/>
    <w:rsid w:val="00190427"/>
    <w:rsid w:val="001B3335"/>
    <w:rsid w:val="001B6593"/>
    <w:rsid w:val="001C1AC5"/>
    <w:rsid w:val="001C6CB9"/>
    <w:rsid w:val="001E7E20"/>
    <w:rsid w:val="001F1034"/>
    <w:rsid w:val="00222B35"/>
    <w:rsid w:val="002277AE"/>
    <w:rsid w:val="0023614D"/>
    <w:rsid w:val="00247B5F"/>
    <w:rsid w:val="00252A41"/>
    <w:rsid w:val="00270B0B"/>
    <w:rsid w:val="0027206E"/>
    <w:rsid w:val="00286553"/>
    <w:rsid w:val="002C52E8"/>
    <w:rsid w:val="002C55F3"/>
    <w:rsid w:val="002C5BDA"/>
    <w:rsid w:val="002C6BD6"/>
    <w:rsid w:val="002D2841"/>
    <w:rsid w:val="002E6EFA"/>
    <w:rsid w:val="002F32BC"/>
    <w:rsid w:val="00301277"/>
    <w:rsid w:val="00307ADA"/>
    <w:rsid w:val="003424DE"/>
    <w:rsid w:val="003771C5"/>
    <w:rsid w:val="00391917"/>
    <w:rsid w:val="00396CF0"/>
    <w:rsid w:val="003A2BD4"/>
    <w:rsid w:val="003B6963"/>
    <w:rsid w:val="003C1F1D"/>
    <w:rsid w:val="003C665D"/>
    <w:rsid w:val="003D3972"/>
    <w:rsid w:val="003F103F"/>
    <w:rsid w:val="003F6449"/>
    <w:rsid w:val="004255D8"/>
    <w:rsid w:val="00426C27"/>
    <w:rsid w:val="0043448E"/>
    <w:rsid w:val="00456EEA"/>
    <w:rsid w:val="0046055E"/>
    <w:rsid w:val="004632BF"/>
    <w:rsid w:val="004A3F8D"/>
    <w:rsid w:val="004E1121"/>
    <w:rsid w:val="00510F37"/>
    <w:rsid w:val="00515529"/>
    <w:rsid w:val="00553B05"/>
    <w:rsid w:val="005826EF"/>
    <w:rsid w:val="00591F59"/>
    <w:rsid w:val="005920FD"/>
    <w:rsid w:val="005C1826"/>
    <w:rsid w:val="005D177D"/>
    <w:rsid w:val="005F278B"/>
    <w:rsid w:val="00605D30"/>
    <w:rsid w:val="0062253F"/>
    <w:rsid w:val="00623DF4"/>
    <w:rsid w:val="00641DE8"/>
    <w:rsid w:val="006429DE"/>
    <w:rsid w:val="00653821"/>
    <w:rsid w:val="0067382C"/>
    <w:rsid w:val="00674B6F"/>
    <w:rsid w:val="00692DD9"/>
    <w:rsid w:val="006F1A07"/>
    <w:rsid w:val="006F3E4B"/>
    <w:rsid w:val="00723214"/>
    <w:rsid w:val="00783C89"/>
    <w:rsid w:val="0078520F"/>
    <w:rsid w:val="00786EF8"/>
    <w:rsid w:val="007944DE"/>
    <w:rsid w:val="007A513A"/>
    <w:rsid w:val="007A740D"/>
    <w:rsid w:val="007C06DB"/>
    <w:rsid w:val="007F6EA2"/>
    <w:rsid w:val="00801FC8"/>
    <w:rsid w:val="00802E32"/>
    <w:rsid w:val="00810B97"/>
    <w:rsid w:val="008363D3"/>
    <w:rsid w:val="0086619E"/>
    <w:rsid w:val="008661C7"/>
    <w:rsid w:val="008840FC"/>
    <w:rsid w:val="008A009F"/>
    <w:rsid w:val="008A0D47"/>
    <w:rsid w:val="008B6A40"/>
    <w:rsid w:val="008C0D72"/>
    <w:rsid w:val="008C501D"/>
    <w:rsid w:val="008F5629"/>
    <w:rsid w:val="009069B9"/>
    <w:rsid w:val="009218E7"/>
    <w:rsid w:val="009230C4"/>
    <w:rsid w:val="009529DA"/>
    <w:rsid w:val="009848C6"/>
    <w:rsid w:val="00991642"/>
    <w:rsid w:val="00A126BD"/>
    <w:rsid w:val="00A2076B"/>
    <w:rsid w:val="00A32C15"/>
    <w:rsid w:val="00A40CD3"/>
    <w:rsid w:val="00A62CE1"/>
    <w:rsid w:val="00A662D8"/>
    <w:rsid w:val="00A92730"/>
    <w:rsid w:val="00A93AFC"/>
    <w:rsid w:val="00AA1CCE"/>
    <w:rsid w:val="00AA3AAE"/>
    <w:rsid w:val="00AC1108"/>
    <w:rsid w:val="00AC163A"/>
    <w:rsid w:val="00AD1D6D"/>
    <w:rsid w:val="00B01CC4"/>
    <w:rsid w:val="00B11608"/>
    <w:rsid w:val="00B240F1"/>
    <w:rsid w:val="00B25648"/>
    <w:rsid w:val="00B321D1"/>
    <w:rsid w:val="00B42BCD"/>
    <w:rsid w:val="00B732B7"/>
    <w:rsid w:val="00B766BA"/>
    <w:rsid w:val="00B83891"/>
    <w:rsid w:val="00B92843"/>
    <w:rsid w:val="00B96B82"/>
    <w:rsid w:val="00BB31AE"/>
    <w:rsid w:val="00BB5DE7"/>
    <w:rsid w:val="00BF3893"/>
    <w:rsid w:val="00C0193F"/>
    <w:rsid w:val="00C025F8"/>
    <w:rsid w:val="00C11298"/>
    <w:rsid w:val="00C14E69"/>
    <w:rsid w:val="00C2031D"/>
    <w:rsid w:val="00C263AA"/>
    <w:rsid w:val="00C376DB"/>
    <w:rsid w:val="00C40A70"/>
    <w:rsid w:val="00C44ECF"/>
    <w:rsid w:val="00C52841"/>
    <w:rsid w:val="00C52F3E"/>
    <w:rsid w:val="00C75B4F"/>
    <w:rsid w:val="00C91943"/>
    <w:rsid w:val="00C97825"/>
    <w:rsid w:val="00CB0549"/>
    <w:rsid w:val="00CD1319"/>
    <w:rsid w:val="00D12B90"/>
    <w:rsid w:val="00D32706"/>
    <w:rsid w:val="00D57053"/>
    <w:rsid w:val="00D6061E"/>
    <w:rsid w:val="00D67258"/>
    <w:rsid w:val="00D72401"/>
    <w:rsid w:val="00D935C0"/>
    <w:rsid w:val="00D97DC1"/>
    <w:rsid w:val="00DA46DD"/>
    <w:rsid w:val="00DA5225"/>
    <w:rsid w:val="00DB2C21"/>
    <w:rsid w:val="00DB6C50"/>
    <w:rsid w:val="00DC0799"/>
    <w:rsid w:val="00DC1EB3"/>
    <w:rsid w:val="00DD5BFE"/>
    <w:rsid w:val="00DD7230"/>
    <w:rsid w:val="00DE61B3"/>
    <w:rsid w:val="00DF0610"/>
    <w:rsid w:val="00E37807"/>
    <w:rsid w:val="00E5168C"/>
    <w:rsid w:val="00E72822"/>
    <w:rsid w:val="00E76CEB"/>
    <w:rsid w:val="00E82B61"/>
    <w:rsid w:val="00E85BE1"/>
    <w:rsid w:val="00EB3405"/>
    <w:rsid w:val="00EE5B50"/>
    <w:rsid w:val="00F004D8"/>
    <w:rsid w:val="00F07F48"/>
    <w:rsid w:val="00F13040"/>
    <w:rsid w:val="00F214EC"/>
    <w:rsid w:val="00F37C31"/>
    <w:rsid w:val="00F4511C"/>
    <w:rsid w:val="00F46999"/>
    <w:rsid w:val="00F67AF6"/>
    <w:rsid w:val="00F72BAA"/>
    <w:rsid w:val="00F73BB1"/>
    <w:rsid w:val="00F827F5"/>
    <w:rsid w:val="00F85231"/>
    <w:rsid w:val="00F96FEA"/>
    <w:rsid w:val="00FA2095"/>
    <w:rsid w:val="00FA2E57"/>
    <w:rsid w:val="00FC5EDD"/>
    <w:rsid w:val="00FD28A9"/>
    <w:rsid w:val="00FD3EEF"/>
    <w:rsid w:val="00FE6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3C9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33" w:qFormat="1"/>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706"/>
    <w:rPr>
      <w:rFonts w:ascii="Arial" w:hAnsi="Arial" w:cs="Arial"/>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C75B4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C75B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C75B4F"/>
    <w:pPr>
      <w:numPr>
        <w:ilvl w:val="2"/>
      </w:numPr>
      <w:spacing w:before="120"/>
      <w:outlineLvl w:val="2"/>
    </w:pPr>
    <w:rPr>
      <w:sz w:val="28"/>
      <w:szCs w:val="28"/>
    </w:rPr>
  </w:style>
  <w:style w:type="paragraph" w:styleId="Heading4">
    <w:name w:val="heading 4"/>
    <w:basedOn w:val="Heading3"/>
    <w:next w:val="Normal"/>
    <w:link w:val="Heading4Char"/>
    <w:qFormat/>
    <w:rsid w:val="00C75B4F"/>
    <w:pPr>
      <w:numPr>
        <w:ilvl w:val="3"/>
      </w:numPr>
      <w:outlineLvl w:val="3"/>
    </w:pPr>
    <w:rPr>
      <w:sz w:val="24"/>
      <w:szCs w:val="24"/>
    </w:rPr>
  </w:style>
  <w:style w:type="paragraph" w:styleId="Heading5">
    <w:name w:val="heading 5"/>
    <w:basedOn w:val="Heading4"/>
    <w:next w:val="Normal"/>
    <w:link w:val="Heading5Char"/>
    <w:qFormat/>
    <w:rsid w:val="00C75B4F"/>
    <w:pPr>
      <w:numPr>
        <w:ilvl w:val="4"/>
      </w:numPr>
      <w:outlineLvl w:val="4"/>
    </w:pPr>
    <w:rPr>
      <w:sz w:val="22"/>
      <w:szCs w:val="22"/>
    </w:rPr>
  </w:style>
  <w:style w:type="paragraph" w:styleId="Heading6">
    <w:name w:val="heading 6"/>
    <w:basedOn w:val="Normal"/>
    <w:next w:val="Normal"/>
    <w:link w:val="Heading6Char"/>
    <w:qFormat/>
    <w:rsid w:val="00C75B4F"/>
    <w:pPr>
      <w:keepNext/>
      <w:keepLines/>
      <w:numPr>
        <w:ilvl w:val="5"/>
        <w:numId w:val="1"/>
      </w:numPr>
      <w:spacing w:before="120"/>
      <w:outlineLvl w:val="5"/>
    </w:pPr>
  </w:style>
  <w:style w:type="paragraph" w:styleId="Heading7">
    <w:name w:val="heading 7"/>
    <w:basedOn w:val="Normal"/>
    <w:next w:val="Normal"/>
    <w:link w:val="Heading7Char"/>
    <w:qFormat/>
    <w:rsid w:val="00C75B4F"/>
    <w:pPr>
      <w:keepNext/>
      <w:keepLines/>
      <w:numPr>
        <w:ilvl w:val="6"/>
        <w:numId w:val="1"/>
      </w:numPr>
      <w:spacing w:before="120"/>
      <w:outlineLvl w:val="6"/>
    </w:pPr>
  </w:style>
  <w:style w:type="paragraph" w:styleId="Heading8">
    <w:name w:val="heading 8"/>
    <w:basedOn w:val="Heading7"/>
    <w:next w:val="Normal"/>
    <w:link w:val="Heading8Char"/>
    <w:qFormat/>
    <w:rsid w:val="00C75B4F"/>
    <w:pPr>
      <w:numPr>
        <w:ilvl w:val="7"/>
      </w:numPr>
      <w:outlineLvl w:val="7"/>
    </w:pPr>
  </w:style>
  <w:style w:type="paragraph" w:styleId="Heading9">
    <w:name w:val="heading 9"/>
    <w:basedOn w:val="Heading8"/>
    <w:next w:val="Normal"/>
    <w:link w:val="Heading9Char"/>
    <w:qFormat/>
    <w:rsid w:val="00C75B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75B4F"/>
    <w:rPr>
      <w:rFonts w:ascii="Arial" w:eastAsia="Times New Roma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C75B4F"/>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C75B4F"/>
    <w:rPr>
      <w:rFonts w:ascii="Arial" w:eastAsia="Times New Roman" w:hAnsi="Arial" w:cs="Arial"/>
      <w:sz w:val="28"/>
      <w:szCs w:val="28"/>
      <w:lang w:val="en-GB"/>
    </w:rPr>
  </w:style>
  <w:style w:type="character" w:customStyle="1" w:styleId="Heading4Char">
    <w:name w:val="Heading 4 Char"/>
    <w:basedOn w:val="DefaultParagraphFont"/>
    <w:link w:val="Heading4"/>
    <w:rsid w:val="00C75B4F"/>
    <w:rPr>
      <w:rFonts w:ascii="Arial" w:eastAsia="Times New Roman" w:hAnsi="Arial" w:cs="Arial"/>
      <w:sz w:val="24"/>
      <w:szCs w:val="24"/>
      <w:lang w:val="en-GB"/>
    </w:rPr>
  </w:style>
  <w:style w:type="character" w:customStyle="1" w:styleId="Heading5Char">
    <w:name w:val="Heading 5 Char"/>
    <w:basedOn w:val="DefaultParagraphFont"/>
    <w:link w:val="Heading5"/>
    <w:rsid w:val="00C75B4F"/>
    <w:rPr>
      <w:rFonts w:ascii="Arial" w:eastAsia="Times New Roman" w:hAnsi="Arial" w:cs="Arial"/>
      <w:lang w:val="en-GB"/>
    </w:rPr>
  </w:style>
  <w:style w:type="character" w:customStyle="1" w:styleId="Heading6Char">
    <w:name w:val="Heading 6 Char"/>
    <w:basedOn w:val="DefaultParagraphFont"/>
    <w:link w:val="Heading6"/>
    <w:rsid w:val="00C75B4F"/>
    <w:rPr>
      <w:rFonts w:cs="Arial"/>
    </w:rPr>
  </w:style>
  <w:style w:type="character" w:customStyle="1" w:styleId="Heading7Char">
    <w:name w:val="Heading 7 Char"/>
    <w:basedOn w:val="DefaultParagraphFont"/>
    <w:link w:val="Heading7"/>
    <w:rsid w:val="00C75B4F"/>
    <w:rPr>
      <w:rFonts w:cs="Arial"/>
    </w:rPr>
  </w:style>
  <w:style w:type="character" w:customStyle="1" w:styleId="Heading8Char">
    <w:name w:val="Heading 8 Char"/>
    <w:basedOn w:val="DefaultParagraphFont"/>
    <w:link w:val="Heading8"/>
    <w:rsid w:val="00C75B4F"/>
    <w:rPr>
      <w:rFonts w:cs="Arial"/>
    </w:rPr>
  </w:style>
  <w:style w:type="character" w:customStyle="1" w:styleId="Heading9Char">
    <w:name w:val="Heading 9 Char"/>
    <w:basedOn w:val="DefaultParagraphFont"/>
    <w:link w:val="Heading9"/>
    <w:rsid w:val="00C75B4F"/>
    <w:rPr>
      <w:rFonts w:cs="Arial"/>
    </w:rPr>
  </w:style>
  <w:style w:type="paragraph" w:styleId="TOC1">
    <w:name w:val="toc 1"/>
    <w:aliases w:val="Observation TOC2"/>
    <w:uiPriority w:val="39"/>
    <w:rsid w:val="00C75B4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styleId="Caption">
    <w:name w:val="caption"/>
    <w:basedOn w:val="Normal"/>
    <w:next w:val="Normal"/>
    <w:qFormat/>
    <w:rsid w:val="00C75B4F"/>
    <w:pPr>
      <w:spacing w:after="240"/>
      <w:jc w:val="center"/>
    </w:pPr>
    <w:rPr>
      <w:b/>
      <w:bCs/>
    </w:rPr>
  </w:style>
  <w:style w:type="paragraph" w:customStyle="1" w:styleId="3GPPHeader">
    <w:name w:val="3GPP_Header"/>
    <w:basedOn w:val="Normal"/>
    <w:rsid w:val="00C75B4F"/>
    <w:pPr>
      <w:tabs>
        <w:tab w:val="left" w:pos="1701"/>
        <w:tab w:val="right" w:pos="9639"/>
      </w:tabs>
      <w:spacing w:after="240"/>
    </w:pPr>
    <w:rPr>
      <w:b/>
      <w:sz w:val="24"/>
    </w:rPr>
  </w:style>
  <w:style w:type="paragraph" w:styleId="Footer">
    <w:name w:val="footer"/>
    <w:basedOn w:val="Header"/>
    <w:link w:val="FooterChar"/>
    <w:semiHidden/>
    <w:rsid w:val="00C75B4F"/>
    <w:pPr>
      <w:widowControl w:val="0"/>
      <w:tabs>
        <w:tab w:val="clear" w:pos="4680"/>
        <w:tab w:val="clear" w:pos="9360"/>
      </w:tabs>
      <w:overflowPunct w:val="0"/>
      <w:autoSpaceDE w:val="0"/>
      <w:autoSpaceDN w:val="0"/>
      <w:adjustRightInd w:val="0"/>
      <w:jc w:val="center"/>
      <w:textAlignment w:val="baseline"/>
    </w:pPr>
    <w:rPr>
      <w:rFonts w:eastAsia="Times New Roman"/>
      <w:b/>
      <w:bCs/>
      <w:i/>
      <w:iCs/>
      <w:noProof/>
      <w:sz w:val="18"/>
      <w:szCs w:val="18"/>
    </w:rPr>
  </w:style>
  <w:style w:type="character" w:customStyle="1" w:styleId="FooterChar">
    <w:name w:val="Footer Char"/>
    <w:basedOn w:val="DefaultParagraphFont"/>
    <w:link w:val="Footer"/>
    <w:semiHidden/>
    <w:rsid w:val="00C75B4F"/>
    <w:rPr>
      <w:rFonts w:ascii="Arial" w:eastAsia="Times New Roman" w:hAnsi="Arial" w:cs="Arial"/>
      <w:b/>
      <w:bCs/>
      <w:i/>
      <w:iCs/>
      <w:noProof/>
      <w:sz w:val="18"/>
      <w:szCs w:val="18"/>
    </w:rPr>
  </w:style>
  <w:style w:type="paragraph" w:customStyle="1" w:styleId="Reference">
    <w:name w:val="Reference"/>
    <w:basedOn w:val="Normal"/>
    <w:rsid w:val="00C75B4F"/>
    <w:pPr>
      <w:numPr>
        <w:numId w:val="2"/>
      </w:numPr>
    </w:pPr>
  </w:style>
  <w:style w:type="character" w:styleId="PageNumber">
    <w:name w:val="page number"/>
    <w:basedOn w:val="DefaultParagraphFont"/>
    <w:semiHidden/>
    <w:rsid w:val="00C75B4F"/>
  </w:style>
  <w:style w:type="paragraph" w:styleId="BodyText">
    <w:name w:val="Body Text"/>
    <w:basedOn w:val="Normal"/>
    <w:link w:val="BodyTextChar"/>
    <w:rsid w:val="00D32706"/>
  </w:style>
  <w:style w:type="character" w:customStyle="1" w:styleId="BodyTextChar">
    <w:name w:val="Body Text Char"/>
    <w:basedOn w:val="DefaultParagraphFont"/>
    <w:link w:val="BodyText"/>
    <w:rsid w:val="00D32706"/>
    <w:rPr>
      <w:rFonts w:ascii="Arial" w:hAnsi="Arial" w:cs="Arial"/>
    </w:rPr>
  </w:style>
  <w:style w:type="character" w:styleId="Hyperlink">
    <w:name w:val="Hyperlink"/>
    <w:uiPriority w:val="99"/>
    <w:rsid w:val="00C75B4F"/>
    <w:rPr>
      <w:color w:val="0000FF"/>
      <w:u w:val="single"/>
      <w:lang w:val="en-GB"/>
    </w:rPr>
  </w:style>
  <w:style w:type="character" w:styleId="CommentReference">
    <w:name w:val="annotation reference"/>
    <w:semiHidden/>
    <w:rsid w:val="00C75B4F"/>
    <w:rPr>
      <w:sz w:val="16"/>
      <w:szCs w:val="16"/>
    </w:rPr>
  </w:style>
  <w:style w:type="paragraph" w:styleId="CommentText">
    <w:name w:val="annotation text"/>
    <w:basedOn w:val="Normal"/>
    <w:link w:val="CommentTextChar"/>
    <w:semiHidden/>
    <w:rsid w:val="00C75B4F"/>
  </w:style>
  <w:style w:type="character" w:customStyle="1" w:styleId="CommentTextChar">
    <w:name w:val="Comment Text Char"/>
    <w:basedOn w:val="DefaultParagraphFont"/>
    <w:link w:val="CommentText"/>
    <w:semiHidden/>
    <w:rsid w:val="00C75B4F"/>
  </w:style>
  <w:style w:type="paragraph" w:customStyle="1" w:styleId="Proposal">
    <w:name w:val="Proposal"/>
    <w:basedOn w:val="Normal"/>
    <w:qFormat/>
    <w:rsid w:val="00C75B4F"/>
    <w:pPr>
      <w:numPr>
        <w:numId w:val="3"/>
      </w:numPr>
      <w:tabs>
        <w:tab w:val="clear" w:pos="1304"/>
        <w:tab w:val="left" w:pos="1701"/>
      </w:tabs>
      <w:ind w:left="1701" w:hanging="1701"/>
    </w:pPr>
    <w:rPr>
      <w:b/>
      <w:bCs/>
    </w:rPr>
  </w:style>
  <w:style w:type="paragraph" w:customStyle="1" w:styleId="Observation">
    <w:name w:val="Observation"/>
    <w:basedOn w:val="Proposal"/>
    <w:qFormat/>
    <w:rsid w:val="008661C7"/>
    <w:pPr>
      <w:numPr>
        <w:numId w:val="8"/>
      </w:numPr>
      <w:ind w:left="1701" w:hanging="1701"/>
    </w:pPr>
  </w:style>
  <w:style w:type="table" w:styleId="TableGrid">
    <w:name w:val="Table Grid"/>
    <w:basedOn w:val="TableNormal"/>
    <w:rsid w:val="00C75B4F"/>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5B4F"/>
    <w:pPr>
      <w:ind w:left="720"/>
      <w:contextualSpacing/>
    </w:pPr>
  </w:style>
  <w:style w:type="table" w:styleId="GridTable1Light">
    <w:name w:val="Grid Table 1 Light"/>
    <w:basedOn w:val="TableNormal"/>
    <w:uiPriority w:val="33"/>
    <w:qFormat/>
    <w:rsid w:val="00C75B4F"/>
    <w:pPr>
      <w:spacing w:after="0" w:line="240" w:lineRule="auto"/>
    </w:pPr>
    <w:rPr>
      <w:rFonts w:ascii="CG Times (WN)" w:eastAsia="Times New Roman" w:hAnsi="CG Times (WN)" w:cs="Times New Roman"/>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75B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B4F"/>
  </w:style>
  <w:style w:type="paragraph" w:styleId="BalloonText">
    <w:name w:val="Balloon Text"/>
    <w:basedOn w:val="Normal"/>
    <w:link w:val="BalloonTextChar"/>
    <w:uiPriority w:val="99"/>
    <w:semiHidden/>
    <w:unhideWhenUsed/>
    <w:rsid w:val="00C75B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B4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D177D"/>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5D177D"/>
    <w:rPr>
      <w:b/>
      <w:bCs/>
      <w:sz w:val="20"/>
      <w:szCs w:val="20"/>
    </w:rPr>
  </w:style>
  <w:style w:type="paragraph" w:styleId="Revision">
    <w:name w:val="Revision"/>
    <w:hidden/>
    <w:uiPriority w:val="99"/>
    <w:semiHidden/>
    <w:rsid w:val="00C40A70"/>
    <w:pPr>
      <w:spacing w:after="0" w:line="240" w:lineRule="auto"/>
    </w:pPr>
    <w:rPr>
      <w:rFonts w:ascii="Arial" w:hAnsi="Arial" w:cs="Arial"/>
    </w:rPr>
  </w:style>
  <w:style w:type="character" w:styleId="UnresolvedMention">
    <w:name w:val="Unresolved Mention"/>
    <w:basedOn w:val="DefaultParagraphFont"/>
    <w:uiPriority w:val="99"/>
    <w:semiHidden/>
    <w:unhideWhenUsed/>
    <w:rsid w:val="00692D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59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3199</Words>
  <Characters>16957</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2017-11-17T16:19:00Z</dcterms:created>
  <dcterms:modified xsi:type="dcterms:W3CDTF">2017-11-17T16:59:00Z</dcterms:modified>
</cp:coreProperties>
</file>